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411" w14:textId="39A4FC28" w:rsidR="009B6A82" w:rsidRPr="00BF249E" w:rsidRDefault="00452261" w:rsidP="00BF249E">
      <w:pPr>
        <w:rPr>
          <w:rFonts w:cs="Times New Roman"/>
          <w:b/>
          <w:szCs w:val="22"/>
        </w:rPr>
      </w:pPr>
      <w:r w:rsidRPr="00BF249E">
        <w:rPr>
          <w:rFonts w:cs="Times New Roman"/>
          <w:b/>
          <w:szCs w:val="22"/>
        </w:rPr>
        <w:t>PROGRAM REVIEW</w:t>
      </w:r>
      <w:r w:rsidR="004A004C" w:rsidRPr="00BF249E">
        <w:rPr>
          <w:rFonts w:cs="Times New Roman"/>
          <w:b/>
          <w:szCs w:val="22"/>
        </w:rPr>
        <w:t xml:space="preserve">:  </w:t>
      </w:r>
      <w:r w:rsidR="009B6A82" w:rsidRPr="00BF249E">
        <w:rPr>
          <w:rFonts w:cs="Times New Roman"/>
          <w:b/>
          <w:szCs w:val="22"/>
        </w:rPr>
        <w:t xml:space="preserve">External Review Team </w:t>
      </w:r>
      <w:r w:rsidR="004E471F" w:rsidRPr="00BF249E">
        <w:rPr>
          <w:rFonts w:cs="Times New Roman"/>
          <w:b/>
          <w:szCs w:val="22"/>
        </w:rPr>
        <w:t xml:space="preserve">- </w:t>
      </w:r>
      <w:r w:rsidR="00777378" w:rsidRPr="00BF249E">
        <w:rPr>
          <w:rFonts w:cs="Times New Roman"/>
          <w:b/>
          <w:szCs w:val="22"/>
        </w:rPr>
        <w:t xml:space="preserve">Candidate </w:t>
      </w:r>
      <w:r w:rsidR="009B6A82" w:rsidRPr="00BF249E">
        <w:rPr>
          <w:rFonts w:cs="Times New Roman"/>
          <w:b/>
          <w:szCs w:val="22"/>
        </w:rPr>
        <w:t>Recommendation</w:t>
      </w:r>
      <w:r w:rsidR="004E471F" w:rsidRPr="00BF249E">
        <w:rPr>
          <w:rFonts w:cs="Times New Roman"/>
          <w:b/>
          <w:szCs w:val="22"/>
        </w:rPr>
        <w:t>s</w:t>
      </w:r>
      <w:r w:rsidR="00493382">
        <w:rPr>
          <w:rFonts w:cs="Times New Roman"/>
          <w:b/>
          <w:szCs w:val="22"/>
        </w:rPr>
        <w:tab/>
      </w:r>
      <w:r w:rsidR="00493382">
        <w:rPr>
          <w:rFonts w:cs="Times New Roman"/>
          <w:b/>
          <w:szCs w:val="22"/>
        </w:rPr>
        <w:tab/>
      </w:r>
      <w:r w:rsidR="00493382">
        <w:rPr>
          <w:rFonts w:cs="Times New Roman"/>
          <w:b/>
          <w:szCs w:val="22"/>
        </w:rPr>
        <w:tab/>
      </w:r>
      <w:r w:rsidR="00493382">
        <w:rPr>
          <w:rFonts w:cs="Times New Roman"/>
          <w:b/>
          <w:szCs w:val="22"/>
        </w:rPr>
        <w:tab/>
      </w:r>
      <w:r w:rsidR="00493382">
        <w:rPr>
          <w:rFonts w:cs="Times New Roman"/>
          <w:b/>
          <w:szCs w:val="22"/>
        </w:rPr>
        <w:tab/>
      </w:r>
      <w:r w:rsidR="00493382">
        <w:rPr>
          <w:rFonts w:cs="Times New Roman"/>
          <w:b/>
          <w:szCs w:val="22"/>
        </w:rPr>
        <w:tab/>
      </w:r>
      <w:r w:rsidR="00493382">
        <w:rPr>
          <w:rFonts w:cs="Times New Roman"/>
          <w:b/>
          <w:szCs w:val="22"/>
        </w:rPr>
        <w:tab/>
      </w:r>
      <w:r w:rsidR="00493382">
        <w:rPr>
          <w:noProof/>
        </w:rPr>
        <w:drawing>
          <wp:inline distT="0" distB="0" distL="0" distR="0" wp14:anchorId="096A4E58" wp14:editId="4E4C4834">
            <wp:extent cx="1050424" cy="956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275" t="8769" r="10748" b="10903"/>
                    <a:stretch/>
                  </pic:blipFill>
                  <pic:spPr bwMode="auto">
                    <a:xfrm>
                      <a:off x="0" y="0"/>
                      <a:ext cx="1058017" cy="96384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7FDDADB" w14:textId="77777777" w:rsidR="00E72C69" w:rsidRPr="00BF249E" w:rsidRDefault="00E72C69" w:rsidP="00BF249E">
      <w:pPr>
        <w:rPr>
          <w:rFonts w:cs="Times New Roman"/>
          <w:szCs w:val="22"/>
        </w:rPr>
      </w:pPr>
    </w:p>
    <w:p w14:paraId="31430208" w14:textId="7ABDC32D" w:rsidR="009B6A82" w:rsidRPr="00BF249E" w:rsidRDefault="009B6A82" w:rsidP="00BF249E">
      <w:pPr>
        <w:rPr>
          <w:rFonts w:cs="Times New Roman"/>
          <w:b/>
          <w:szCs w:val="22"/>
        </w:rPr>
      </w:pPr>
      <w:r w:rsidRPr="00BF249E">
        <w:rPr>
          <w:rFonts w:cs="Times New Roman"/>
          <w:b/>
          <w:szCs w:val="22"/>
        </w:rPr>
        <w:t>Program Name:</w:t>
      </w:r>
      <w:r w:rsidR="00452261" w:rsidRPr="00BF249E">
        <w:rPr>
          <w:rFonts w:cs="Times New Roman"/>
          <w:b/>
          <w:szCs w:val="22"/>
        </w:rPr>
        <w:t xml:space="preserve">  </w:t>
      </w:r>
    </w:p>
    <w:p w14:paraId="0708064A" w14:textId="77777777" w:rsidR="00E72C69" w:rsidRPr="00BF249E" w:rsidRDefault="00E72C69" w:rsidP="00BF249E">
      <w:pPr>
        <w:rPr>
          <w:rFonts w:cs="Times New Roman"/>
          <w:szCs w:val="22"/>
        </w:rPr>
      </w:pPr>
    </w:p>
    <w:p w14:paraId="72B1C58B" w14:textId="5CF5A090" w:rsidR="009B6A82" w:rsidRPr="00BF249E" w:rsidRDefault="00E72C69" w:rsidP="00BF249E">
      <w:pPr>
        <w:rPr>
          <w:rFonts w:cs="Times New Roman"/>
          <w:b/>
          <w:szCs w:val="22"/>
        </w:rPr>
      </w:pPr>
      <w:r w:rsidRPr="00BF249E">
        <w:rPr>
          <w:rFonts w:cs="Times New Roman"/>
          <w:b/>
          <w:szCs w:val="22"/>
        </w:rPr>
        <w:t>Date:</w:t>
      </w:r>
      <w:r w:rsidR="00452261" w:rsidRPr="00BF249E">
        <w:rPr>
          <w:rFonts w:cs="Times New Roman"/>
          <w:b/>
          <w:szCs w:val="22"/>
        </w:rPr>
        <w:t xml:space="preserve">  </w:t>
      </w:r>
    </w:p>
    <w:p w14:paraId="147921AC" w14:textId="64461CC3" w:rsidR="004A004C" w:rsidRPr="00BF249E" w:rsidRDefault="004A004C" w:rsidP="00BF249E">
      <w:pPr>
        <w:rPr>
          <w:rFonts w:cs="Times New Roman"/>
        </w:rPr>
      </w:pPr>
    </w:p>
    <w:tbl>
      <w:tblPr>
        <w:tblStyle w:val="TableGrid"/>
        <w:tblW w:w="14473" w:type="dxa"/>
        <w:tblInd w:w="108" w:type="dxa"/>
        <w:tblLook w:val="04A0" w:firstRow="1" w:lastRow="0" w:firstColumn="1" w:lastColumn="0" w:noHBand="0" w:noVBand="1"/>
      </w:tblPr>
      <w:tblGrid>
        <w:gridCol w:w="1311"/>
        <w:gridCol w:w="1429"/>
        <w:gridCol w:w="2185"/>
        <w:gridCol w:w="2163"/>
        <w:gridCol w:w="2020"/>
        <w:gridCol w:w="2038"/>
        <w:gridCol w:w="1747"/>
        <w:gridCol w:w="1580"/>
      </w:tblGrid>
      <w:tr w:rsidR="00BF249E" w:rsidRPr="00452261" w14:paraId="77B96A79" w14:textId="3B7DB2A2" w:rsidTr="00BF249E">
        <w:trPr>
          <w:tblHeader/>
        </w:trPr>
        <w:tc>
          <w:tcPr>
            <w:tcW w:w="1318" w:type="dxa"/>
          </w:tcPr>
          <w:p w14:paraId="1F5E5714" w14:textId="68825F25" w:rsidR="00BF249E" w:rsidRPr="00BF249E" w:rsidRDefault="00BF249E" w:rsidP="00BF249E">
            <w:pPr>
              <w:ind w:left="0"/>
              <w:rPr>
                <w:b/>
              </w:rPr>
            </w:pPr>
            <w:r w:rsidRPr="00BF249E">
              <w:rPr>
                <w:b/>
              </w:rPr>
              <w:t>Candidate Type *</w:t>
            </w:r>
          </w:p>
          <w:p w14:paraId="60B1FBD2" w14:textId="5E0CC3C1" w:rsidR="00BF249E" w:rsidRPr="00BF249E" w:rsidRDefault="00BF249E" w:rsidP="00BF249E">
            <w:pPr>
              <w:ind w:left="0"/>
              <w:rPr>
                <w:b/>
              </w:rPr>
            </w:pPr>
            <w:r w:rsidRPr="00BF249E">
              <w:rPr>
                <w:b/>
              </w:rPr>
              <w:t>(see Notes below)</w:t>
            </w:r>
          </w:p>
        </w:tc>
        <w:tc>
          <w:tcPr>
            <w:tcW w:w="1436" w:type="dxa"/>
          </w:tcPr>
          <w:p w14:paraId="271692D0" w14:textId="2ABEAA71" w:rsidR="00BF249E" w:rsidRPr="00BF249E" w:rsidRDefault="00BF249E" w:rsidP="00BF249E">
            <w:pPr>
              <w:ind w:left="0"/>
              <w:rPr>
                <w:b/>
              </w:rPr>
            </w:pPr>
            <w:r w:rsidRPr="00BF249E">
              <w:rPr>
                <w:b/>
              </w:rPr>
              <w:t>Name &amp; Credentials</w:t>
            </w:r>
          </w:p>
        </w:tc>
        <w:tc>
          <w:tcPr>
            <w:tcW w:w="1955" w:type="dxa"/>
          </w:tcPr>
          <w:p w14:paraId="280B0224" w14:textId="354950F1" w:rsidR="00BF249E" w:rsidRPr="00BF249E" w:rsidRDefault="00BF249E" w:rsidP="00BF249E">
            <w:pPr>
              <w:ind w:left="0"/>
              <w:rPr>
                <w:b/>
              </w:rPr>
            </w:pPr>
            <w:r w:rsidRPr="00BF249E">
              <w:rPr>
                <w:b/>
              </w:rPr>
              <w:t>Title &amp; Company/Institution</w:t>
            </w:r>
          </w:p>
        </w:tc>
        <w:tc>
          <w:tcPr>
            <w:tcW w:w="2211" w:type="dxa"/>
          </w:tcPr>
          <w:p w14:paraId="5957DF56" w14:textId="77777777" w:rsidR="00BF249E" w:rsidRPr="00BF249E" w:rsidRDefault="00BF249E" w:rsidP="00BF249E">
            <w:pPr>
              <w:ind w:left="0"/>
              <w:rPr>
                <w:b/>
              </w:rPr>
            </w:pPr>
            <w:r w:rsidRPr="00BF249E">
              <w:rPr>
                <w:b/>
              </w:rPr>
              <w:t xml:space="preserve">Contact Information </w:t>
            </w:r>
          </w:p>
          <w:p w14:paraId="495DEAFB" w14:textId="4E2CFEE7" w:rsidR="00BF249E" w:rsidRPr="00BF249E" w:rsidRDefault="003A036F" w:rsidP="009349D4">
            <w:pPr>
              <w:ind w:left="0"/>
              <w:rPr>
                <w:b/>
              </w:rPr>
            </w:pPr>
            <w:r>
              <w:rPr>
                <w:b/>
              </w:rPr>
              <w:t xml:space="preserve">(include email </w:t>
            </w:r>
            <w:r w:rsidR="009349D4">
              <w:rPr>
                <w:b/>
              </w:rPr>
              <w:t xml:space="preserve">and </w:t>
            </w:r>
            <w:r w:rsidR="00BF249E" w:rsidRPr="00BF249E">
              <w:rPr>
                <w:b/>
              </w:rPr>
              <w:t>telephone)</w:t>
            </w:r>
          </w:p>
        </w:tc>
        <w:tc>
          <w:tcPr>
            <w:tcW w:w="2064" w:type="dxa"/>
          </w:tcPr>
          <w:p w14:paraId="14CE5573" w14:textId="77777777" w:rsidR="00BF249E" w:rsidRPr="00BF249E" w:rsidRDefault="00BF249E" w:rsidP="00BF249E">
            <w:pPr>
              <w:ind w:left="0"/>
              <w:rPr>
                <w:b/>
              </w:rPr>
            </w:pPr>
            <w:r w:rsidRPr="00BF249E">
              <w:rPr>
                <w:b/>
              </w:rPr>
              <w:t>Outline brief rationale for nomination</w:t>
            </w:r>
          </w:p>
          <w:p w14:paraId="330C7919" w14:textId="77777777" w:rsidR="00BF249E" w:rsidRPr="00BF249E" w:rsidRDefault="00BF249E" w:rsidP="00BF249E">
            <w:pPr>
              <w:ind w:left="0"/>
              <w:rPr>
                <w:b/>
              </w:rPr>
            </w:pPr>
          </w:p>
        </w:tc>
        <w:tc>
          <w:tcPr>
            <w:tcW w:w="2097" w:type="dxa"/>
          </w:tcPr>
          <w:p w14:paraId="008E8CBA" w14:textId="0070AE67" w:rsidR="00BF249E" w:rsidRPr="00BF249E" w:rsidRDefault="00BF249E" w:rsidP="00BF249E">
            <w:pPr>
              <w:ind w:left="0"/>
              <w:rPr>
                <w:b/>
              </w:rPr>
            </w:pPr>
            <w:r w:rsidRPr="00BF249E">
              <w:rPr>
                <w:b/>
              </w:rPr>
              <w:t>Describe any prior contact with the program under review</w:t>
            </w:r>
          </w:p>
        </w:tc>
        <w:tc>
          <w:tcPr>
            <w:tcW w:w="1790" w:type="dxa"/>
          </w:tcPr>
          <w:p w14:paraId="22A83FC9" w14:textId="77777777" w:rsidR="00BF249E" w:rsidRPr="00BF249E" w:rsidRDefault="00BF249E" w:rsidP="00BF249E">
            <w:pPr>
              <w:ind w:left="0"/>
              <w:rPr>
                <w:b/>
              </w:rPr>
            </w:pPr>
            <w:r w:rsidRPr="00BF249E">
              <w:rPr>
                <w:b/>
              </w:rPr>
              <w:t>Describe any conflict of interest issues</w:t>
            </w:r>
          </w:p>
          <w:p w14:paraId="53894FC9" w14:textId="77777777" w:rsidR="00BF249E" w:rsidRPr="00BF249E" w:rsidRDefault="00BF249E" w:rsidP="00BF249E">
            <w:pPr>
              <w:ind w:left="0"/>
              <w:rPr>
                <w:b/>
              </w:rPr>
            </w:pPr>
          </w:p>
        </w:tc>
        <w:tc>
          <w:tcPr>
            <w:tcW w:w="1602" w:type="dxa"/>
          </w:tcPr>
          <w:p w14:paraId="603ABDFD" w14:textId="4C0ABB5F" w:rsidR="00BF249E" w:rsidRPr="00BF249E" w:rsidRDefault="00BF249E" w:rsidP="00BF249E">
            <w:pPr>
              <w:ind w:left="0"/>
              <w:rPr>
                <w:b/>
              </w:rPr>
            </w:pPr>
            <w:r w:rsidRPr="00F62EA9">
              <w:rPr>
                <w:b/>
              </w:rPr>
              <w:t>Describe any previous experience with Program Reviews</w:t>
            </w:r>
          </w:p>
        </w:tc>
      </w:tr>
      <w:tr w:rsidR="00BF249E" w:rsidRPr="00452261" w14:paraId="4A994B94" w14:textId="48977FDB" w:rsidTr="00BF249E">
        <w:tc>
          <w:tcPr>
            <w:tcW w:w="1318" w:type="dxa"/>
          </w:tcPr>
          <w:p w14:paraId="1F3698EC" w14:textId="2BA3D6FD" w:rsidR="00BF249E" w:rsidRPr="00BF249E" w:rsidRDefault="00BF249E" w:rsidP="00BF249E">
            <w:pPr>
              <w:ind w:left="0"/>
              <w:rPr>
                <w:b/>
              </w:rPr>
            </w:pPr>
            <w:r w:rsidRPr="00BF249E">
              <w:rPr>
                <w:b/>
              </w:rPr>
              <w:t>External Academic</w:t>
            </w:r>
          </w:p>
        </w:tc>
        <w:tc>
          <w:tcPr>
            <w:tcW w:w="1436" w:type="dxa"/>
          </w:tcPr>
          <w:p w14:paraId="0C956995" w14:textId="77777777" w:rsidR="00BF249E" w:rsidRPr="00BF249E" w:rsidRDefault="00BF249E" w:rsidP="00BF249E">
            <w:pPr>
              <w:ind w:left="0"/>
            </w:pPr>
          </w:p>
        </w:tc>
        <w:tc>
          <w:tcPr>
            <w:tcW w:w="1955" w:type="dxa"/>
          </w:tcPr>
          <w:p w14:paraId="5B00366B" w14:textId="77777777" w:rsidR="00BF249E" w:rsidRPr="00BF249E" w:rsidRDefault="00BF249E" w:rsidP="00BF249E">
            <w:pPr>
              <w:ind w:left="0"/>
            </w:pPr>
          </w:p>
        </w:tc>
        <w:tc>
          <w:tcPr>
            <w:tcW w:w="2211" w:type="dxa"/>
          </w:tcPr>
          <w:p w14:paraId="3234970A" w14:textId="77777777" w:rsidR="00BF249E" w:rsidRPr="00BF249E" w:rsidRDefault="00BF249E" w:rsidP="00BF249E">
            <w:pPr>
              <w:ind w:left="0"/>
            </w:pPr>
          </w:p>
        </w:tc>
        <w:tc>
          <w:tcPr>
            <w:tcW w:w="2064" w:type="dxa"/>
          </w:tcPr>
          <w:p w14:paraId="26933140" w14:textId="77777777" w:rsidR="00BF249E" w:rsidRPr="00BF249E" w:rsidRDefault="00BF249E" w:rsidP="00BF249E">
            <w:pPr>
              <w:ind w:left="0"/>
            </w:pPr>
          </w:p>
        </w:tc>
        <w:tc>
          <w:tcPr>
            <w:tcW w:w="2097" w:type="dxa"/>
          </w:tcPr>
          <w:p w14:paraId="77D53D30" w14:textId="77777777" w:rsidR="00BF249E" w:rsidRPr="00BF249E" w:rsidRDefault="00BF249E" w:rsidP="00BF249E">
            <w:pPr>
              <w:ind w:left="0"/>
            </w:pPr>
          </w:p>
        </w:tc>
        <w:tc>
          <w:tcPr>
            <w:tcW w:w="1790" w:type="dxa"/>
          </w:tcPr>
          <w:p w14:paraId="45569F15" w14:textId="77777777" w:rsidR="00BF249E" w:rsidRPr="00BF249E" w:rsidRDefault="00BF249E" w:rsidP="00BF249E">
            <w:pPr>
              <w:ind w:left="0"/>
            </w:pPr>
          </w:p>
        </w:tc>
        <w:tc>
          <w:tcPr>
            <w:tcW w:w="1602" w:type="dxa"/>
          </w:tcPr>
          <w:p w14:paraId="7710D271" w14:textId="77777777" w:rsidR="00BF249E" w:rsidRPr="00BF249E" w:rsidRDefault="00BF249E" w:rsidP="00BF249E">
            <w:pPr>
              <w:ind w:left="0"/>
            </w:pPr>
          </w:p>
        </w:tc>
      </w:tr>
      <w:tr w:rsidR="00BF249E" w:rsidRPr="00452261" w14:paraId="7599A25C" w14:textId="5B6629BE" w:rsidTr="00BF249E">
        <w:tc>
          <w:tcPr>
            <w:tcW w:w="1318" w:type="dxa"/>
          </w:tcPr>
          <w:p w14:paraId="75F55164" w14:textId="77777777" w:rsidR="00BF249E" w:rsidRPr="00BF249E" w:rsidRDefault="00BF249E" w:rsidP="00BF249E">
            <w:pPr>
              <w:ind w:left="0"/>
              <w:rPr>
                <w:b/>
              </w:rPr>
            </w:pPr>
          </w:p>
        </w:tc>
        <w:tc>
          <w:tcPr>
            <w:tcW w:w="1436" w:type="dxa"/>
          </w:tcPr>
          <w:p w14:paraId="5F40675B" w14:textId="77777777" w:rsidR="00BF249E" w:rsidRPr="00BF249E" w:rsidRDefault="00BF249E" w:rsidP="00BF249E">
            <w:pPr>
              <w:ind w:left="0"/>
            </w:pPr>
          </w:p>
        </w:tc>
        <w:tc>
          <w:tcPr>
            <w:tcW w:w="1955" w:type="dxa"/>
          </w:tcPr>
          <w:p w14:paraId="44C9FBFA" w14:textId="77777777" w:rsidR="00BF249E" w:rsidRPr="00BF249E" w:rsidRDefault="00BF249E" w:rsidP="00BF249E">
            <w:pPr>
              <w:ind w:left="0"/>
            </w:pPr>
          </w:p>
        </w:tc>
        <w:tc>
          <w:tcPr>
            <w:tcW w:w="2211" w:type="dxa"/>
          </w:tcPr>
          <w:p w14:paraId="13D49192" w14:textId="77777777" w:rsidR="00BF249E" w:rsidRPr="00BF249E" w:rsidRDefault="00BF249E" w:rsidP="00BF249E">
            <w:pPr>
              <w:ind w:left="0"/>
            </w:pPr>
          </w:p>
        </w:tc>
        <w:tc>
          <w:tcPr>
            <w:tcW w:w="2064" w:type="dxa"/>
          </w:tcPr>
          <w:p w14:paraId="5CE14928" w14:textId="77777777" w:rsidR="00BF249E" w:rsidRPr="00BF249E" w:rsidRDefault="00BF249E" w:rsidP="00BF249E">
            <w:pPr>
              <w:ind w:left="0"/>
            </w:pPr>
          </w:p>
        </w:tc>
        <w:tc>
          <w:tcPr>
            <w:tcW w:w="2097" w:type="dxa"/>
          </w:tcPr>
          <w:p w14:paraId="49C0696F" w14:textId="77777777" w:rsidR="00BF249E" w:rsidRPr="00BF249E" w:rsidRDefault="00BF249E" w:rsidP="00BF249E">
            <w:pPr>
              <w:ind w:left="0"/>
            </w:pPr>
          </w:p>
        </w:tc>
        <w:tc>
          <w:tcPr>
            <w:tcW w:w="1790" w:type="dxa"/>
          </w:tcPr>
          <w:p w14:paraId="525707FC" w14:textId="77777777" w:rsidR="00BF249E" w:rsidRPr="00BF249E" w:rsidRDefault="00BF249E" w:rsidP="00BF249E">
            <w:pPr>
              <w:ind w:left="0"/>
            </w:pPr>
          </w:p>
        </w:tc>
        <w:tc>
          <w:tcPr>
            <w:tcW w:w="1602" w:type="dxa"/>
          </w:tcPr>
          <w:p w14:paraId="795C3F0D" w14:textId="77777777" w:rsidR="00BF249E" w:rsidRPr="00BF249E" w:rsidRDefault="00BF249E" w:rsidP="00BF249E">
            <w:pPr>
              <w:ind w:left="0"/>
            </w:pPr>
          </w:p>
        </w:tc>
      </w:tr>
      <w:tr w:rsidR="00BF249E" w:rsidRPr="00452261" w14:paraId="790DB06E" w14:textId="62EBDE8A" w:rsidTr="00BF249E">
        <w:tc>
          <w:tcPr>
            <w:tcW w:w="1318" w:type="dxa"/>
          </w:tcPr>
          <w:p w14:paraId="21F697DD" w14:textId="77777777" w:rsidR="00BF249E" w:rsidRPr="00BF249E" w:rsidRDefault="00BF249E" w:rsidP="00BF249E">
            <w:pPr>
              <w:ind w:left="0"/>
              <w:rPr>
                <w:b/>
              </w:rPr>
            </w:pPr>
          </w:p>
        </w:tc>
        <w:tc>
          <w:tcPr>
            <w:tcW w:w="1436" w:type="dxa"/>
          </w:tcPr>
          <w:p w14:paraId="0C2CB741" w14:textId="77777777" w:rsidR="00BF249E" w:rsidRPr="00BF249E" w:rsidRDefault="00BF249E" w:rsidP="00BF249E">
            <w:pPr>
              <w:ind w:left="0"/>
            </w:pPr>
          </w:p>
        </w:tc>
        <w:tc>
          <w:tcPr>
            <w:tcW w:w="1955" w:type="dxa"/>
          </w:tcPr>
          <w:p w14:paraId="2A7EF468" w14:textId="77777777" w:rsidR="00BF249E" w:rsidRPr="00BF249E" w:rsidRDefault="00BF249E" w:rsidP="00BF249E">
            <w:pPr>
              <w:ind w:left="0"/>
            </w:pPr>
          </w:p>
        </w:tc>
        <w:tc>
          <w:tcPr>
            <w:tcW w:w="2211" w:type="dxa"/>
          </w:tcPr>
          <w:p w14:paraId="637311AC" w14:textId="77777777" w:rsidR="00BF249E" w:rsidRPr="00BF249E" w:rsidRDefault="00BF249E" w:rsidP="00BF249E">
            <w:pPr>
              <w:ind w:left="0"/>
            </w:pPr>
          </w:p>
        </w:tc>
        <w:tc>
          <w:tcPr>
            <w:tcW w:w="2064" w:type="dxa"/>
          </w:tcPr>
          <w:p w14:paraId="5079CFCC" w14:textId="77777777" w:rsidR="00BF249E" w:rsidRPr="00BF249E" w:rsidRDefault="00BF249E" w:rsidP="00BF249E">
            <w:pPr>
              <w:ind w:left="0"/>
            </w:pPr>
          </w:p>
        </w:tc>
        <w:tc>
          <w:tcPr>
            <w:tcW w:w="2097" w:type="dxa"/>
          </w:tcPr>
          <w:p w14:paraId="6C25968E" w14:textId="77777777" w:rsidR="00BF249E" w:rsidRPr="00BF249E" w:rsidRDefault="00BF249E" w:rsidP="00BF249E">
            <w:pPr>
              <w:ind w:left="0"/>
            </w:pPr>
          </w:p>
        </w:tc>
        <w:tc>
          <w:tcPr>
            <w:tcW w:w="1790" w:type="dxa"/>
          </w:tcPr>
          <w:p w14:paraId="204084A5" w14:textId="77777777" w:rsidR="00BF249E" w:rsidRPr="00BF249E" w:rsidRDefault="00BF249E" w:rsidP="00BF249E">
            <w:pPr>
              <w:ind w:left="0"/>
            </w:pPr>
          </w:p>
        </w:tc>
        <w:tc>
          <w:tcPr>
            <w:tcW w:w="1602" w:type="dxa"/>
          </w:tcPr>
          <w:p w14:paraId="0DC5480D" w14:textId="77777777" w:rsidR="00BF249E" w:rsidRPr="00BF249E" w:rsidRDefault="00BF249E" w:rsidP="00BF249E">
            <w:pPr>
              <w:ind w:left="0"/>
            </w:pPr>
          </w:p>
        </w:tc>
      </w:tr>
      <w:tr w:rsidR="00BF249E" w:rsidRPr="00452261" w14:paraId="7536FD1B" w14:textId="6469CE1F" w:rsidTr="00BF249E">
        <w:tc>
          <w:tcPr>
            <w:tcW w:w="1318" w:type="dxa"/>
          </w:tcPr>
          <w:p w14:paraId="1D366D11" w14:textId="77777777" w:rsidR="00BF249E" w:rsidRPr="00BF249E" w:rsidRDefault="00BF249E" w:rsidP="00BF249E">
            <w:pPr>
              <w:ind w:left="0"/>
              <w:rPr>
                <w:b/>
              </w:rPr>
            </w:pPr>
          </w:p>
        </w:tc>
        <w:tc>
          <w:tcPr>
            <w:tcW w:w="1436" w:type="dxa"/>
          </w:tcPr>
          <w:p w14:paraId="4C02D774" w14:textId="77777777" w:rsidR="00BF249E" w:rsidRPr="00BF249E" w:rsidRDefault="00BF249E" w:rsidP="00BF249E">
            <w:pPr>
              <w:ind w:left="0"/>
            </w:pPr>
          </w:p>
        </w:tc>
        <w:tc>
          <w:tcPr>
            <w:tcW w:w="1955" w:type="dxa"/>
          </w:tcPr>
          <w:p w14:paraId="24105269" w14:textId="77777777" w:rsidR="00BF249E" w:rsidRPr="00BF249E" w:rsidRDefault="00BF249E" w:rsidP="00BF249E">
            <w:pPr>
              <w:ind w:left="0"/>
            </w:pPr>
          </w:p>
        </w:tc>
        <w:tc>
          <w:tcPr>
            <w:tcW w:w="2211" w:type="dxa"/>
          </w:tcPr>
          <w:p w14:paraId="213654BF" w14:textId="77777777" w:rsidR="00BF249E" w:rsidRPr="00BF249E" w:rsidRDefault="00BF249E" w:rsidP="00BF249E">
            <w:pPr>
              <w:ind w:left="0"/>
            </w:pPr>
          </w:p>
        </w:tc>
        <w:tc>
          <w:tcPr>
            <w:tcW w:w="2064" w:type="dxa"/>
          </w:tcPr>
          <w:p w14:paraId="3C5DEB9E" w14:textId="77777777" w:rsidR="00BF249E" w:rsidRPr="00BF249E" w:rsidRDefault="00BF249E" w:rsidP="00BF249E">
            <w:pPr>
              <w:ind w:left="0"/>
            </w:pPr>
          </w:p>
        </w:tc>
        <w:tc>
          <w:tcPr>
            <w:tcW w:w="2097" w:type="dxa"/>
          </w:tcPr>
          <w:p w14:paraId="7A24EA21" w14:textId="77777777" w:rsidR="00BF249E" w:rsidRPr="00BF249E" w:rsidRDefault="00BF249E" w:rsidP="00BF249E">
            <w:pPr>
              <w:ind w:left="0"/>
            </w:pPr>
          </w:p>
        </w:tc>
        <w:tc>
          <w:tcPr>
            <w:tcW w:w="1790" w:type="dxa"/>
          </w:tcPr>
          <w:p w14:paraId="7AEFDEA3" w14:textId="77777777" w:rsidR="00BF249E" w:rsidRPr="00BF249E" w:rsidRDefault="00BF249E" w:rsidP="00BF249E">
            <w:pPr>
              <w:ind w:left="0"/>
            </w:pPr>
          </w:p>
        </w:tc>
        <w:tc>
          <w:tcPr>
            <w:tcW w:w="1602" w:type="dxa"/>
          </w:tcPr>
          <w:p w14:paraId="4A156C54" w14:textId="77777777" w:rsidR="00BF249E" w:rsidRPr="00BF249E" w:rsidRDefault="00BF249E" w:rsidP="00BF249E">
            <w:pPr>
              <w:ind w:left="0"/>
            </w:pPr>
          </w:p>
        </w:tc>
      </w:tr>
      <w:tr w:rsidR="00BF249E" w:rsidRPr="00452261" w14:paraId="0126797F" w14:textId="32E9B007" w:rsidTr="00BF249E">
        <w:tc>
          <w:tcPr>
            <w:tcW w:w="1318" w:type="dxa"/>
          </w:tcPr>
          <w:p w14:paraId="5998DE3B" w14:textId="477B8100" w:rsidR="00BF249E" w:rsidRPr="00BF249E" w:rsidRDefault="00BF249E" w:rsidP="00BF249E">
            <w:pPr>
              <w:ind w:left="0"/>
              <w:rPr>
                <w:b/>
              </w:rPr>
            </w:pPr>
            <w:r w:rsidRPr="00BF249E">
              <w:rPr>
                <w:b/>
              </w:rPr>
              <w:t>External Industry</w:t>
            </w:r>
          </w:p>
        </w:tc>
        <w:tc>
          <w:tcPr>
            <w:tcW w:w="1436" w:type="dxa"/>
          </w:tcPr>
          <w:p w14:paraId="58926D27" w14:textId="77777777" w:rsidR="00BF249E" w:rsidRPr="00BF249E" w:rsidRDefault="00BF249E" w:rsidP="00BF249E">
            <w:pPr>
              <w:ind w:left="0"/>
            </w:pPr>
          </w:p>
        </w:tc>
        <w:tc>
          <w:tcPr>
            <w:tcW w:w="1955" w:type="dxa"/>
          </w:tcPr>
          <w:p w14:paraId="04724458" w14:textId="77777777" w:rsidR="00BF249E" w:rsidRPr="00BF249E" w:rsidRDefault="00BF249E" w:rsidP="00BF249E">
            <w:pPr>
              <w:ind w:left="0"/>
            </w:pPr>
          </w:p>
        </w:tc>
        <w:tc>
          <w:tcPr>
            <w:tcW w:w="2211" w:type="dxa"/>
          </w:tcPr>
          <w:p w14:paraId="2EB488E9" w14:textId="77777777" w:rsidR="00BF249E" w:rsidRPr="00BF249E" w:rsidRDefault="00BF249E" w:rsidP="00BF249E">
            <w:pPr>
              <w:ind w:left="0"/>
            </w:pPr>
          </w:p>
        </w:tc>
        <w:tc>
          <w:tcPr>
            <w:tcW w:w="2064" w:type="dxa"/>
          </w:tcPr>
          <w:p w14:paraId="5EF51B2C" w14:textId="77777777" w:rsidR="00BF249E" w:rsidRPr="00BF249E" w:rsidRDefault="00BF249E" w:rsidP="00BF249E">
            <w:pPr>
              <w:ind w:left="0"/>
            </w:pPr>
          </w:p>
        </w:tc>
        <w:tc>
          <w:tcPr>
            <w:tcW w:w="2097" w:type="dxa"/>
          </w:tcPr>
          <w:p w14:paraId="7C206097" w14:textId="77777777" w:rsidR="00BF249E" w:rsidRPr="00BF249E" w:rsidRDefault="00BF249E" w:rsidP="00BF249E">
            <w:pPr>
              <w:ind w:left="0"/>
            </w:pPr>
          </w:p>
        </w:tc>
        <w:tc>
          <w:tcPr>
            <w:tcW w:w="1790" w:type="dxa"/>
          </w:tcPr>
          <w:p w14:paraId="438693FB" w14:textId="77777777" w:rsidR="00BF249E" w:rsidRPr="00BF249E" w:rsidRDefault="00BF249E" w:rsidP="00BF249E">
            <w:pPr>
              <w:ind w:left="0"/>
            </w:pPr>
          </w:p>
        </w:tc>
        <w:tc>
          <w:tcPr>
            <w:tcW w:w="1602" w:type="dxa"/>
          </w:tcPr>
          <w:p w14:paraId="4A12CA65" w14:textId="77777777" w:rsidR="00BF249E" w:rsidRPr="00BF249E" w:rsidRDefault="00BF249E" w:rsidP="00BF249E">
            <w:pPr>
              <w:ind w:left="0"/>
            </w:pPr>
          </w:p>
        </w:tc>
      </w:tr>
      <w:tr w:rsidR="00BF249E" w:rsidRPr="00452261" w14:paraId="1187632C" w14:textId="4DEB53F7" w:rsidTr="00BF249E">
        <w:tc>
          <w:tcPr>
            <w:tcW w:w="1318" w:type="dxa"/>
          </w:tcPr>
          <w:p w14:paraId="3C0F9B55" w14:textId="77777777" w:rsidR="00BF249E" w:rsidRPr="00BF249E" w:rsidRDefault="00BF249E" w:rsidP="00BF249E">
            <w:pPr>
              <w:ind w:left="0"/>
              <w:rPr>
                <w:b/>
              </w:rPr>
            </w:pPr>
          </w:p>
        </w:tc>
        <w:tc>
          <w:tcPr>
            <w:tcW w:w="1436" w:type="dxa"/>
          </w:tcPr>
          <w:p w14:paraId="3DC6ED70" w14:textId="77777777" w:rsidR="00BF249E" w:rsidRPr="00BF249E" w:rsidRDefault="00BF249E" w:rsidP="00BF249E">
            <w:pPr>
              <w:ind w:left="0"/>
            </w:pPr>
          </w:p>
        </w:tc>
        <w:tc>
          <w:tcPr>
            <w:tcW w:w="1955" w:type="dxa"/>
          </w:tcPr>
          <w:p w14:paraId="138FB3A9" w14:textId="77777777" w:rsidR="00BF249E" w:rsidRPr="00BF249E" w:rsidRDefault="00BF249E" w:rsidP="00BF249E">
            <w:pPr>
              <w:ind w:left="0"/>
            </w:pPr>
          </w:p>
        </w:tc>
        <w:tc>
          <w:tcPr>
            <w:tcW w:w="2211" w:type="dxa"/>
          </w:tcPr>
          <w:p w14:paraId="0AEC294C" w14:textId="77777777" w:rsidR="00BF249E" w:rsidRPr="00BF249E" w:rsidRDefault="00BF249E" w:rsidP="00BF249E">
            <w:pPr>
              <w:ind w:left="0"/>
            </w:pPr>
          </w:p>
        </w:tc>
        <w:tc>
          <w:tcPr>
            <w:tcW w:w="2064" w:type="dxa"/>
          </w:tcPr>
          <w:p w14:paraId="20F9065A" w14:textId="77777777" w:rsidR="00BF249E" w:rsidRPr="00BF249E" w:rsidRDefault="00BF249E" w:rsidP="00BF249E">
            <w:pPr>
              <w:ind w:left="0"/>
            </w:pPr>
          </w:p>
        </w:tc>
        <w:tc>
          <w:tcPr>
            <w:tcW w:w="2097" w:type="dxa"/>
          </w:tcPr>
          <w:p w14:paraId="0C7577F3" w14:textId="77777777" w:rsidR="00BF249E" w:rsidRPr="00BF249E" w:rsidRDefault="00BF249E" w:rsidP="00BF249E">
            <w:pPr>
              <w:ind w:left="0"/>
            </w:pPr>
          </w:p>
        </w:tc>
        <w:tc>
          <w:tcPr>
            <w:tcW w:w="1790" w:type="dxa"/>
          </w:tcPr>
          <w:p w14:paraId="08AD21CB" w14:textId="77777777" w:rsidR="00BF249E" w:rsidRPr="00BF249E" w:rsidRDefault="00BF249E" w:rsidP="00BF249E">
            <w:pPr>
              <w:ind w:left="0"/>
            </w:pPr>
          </w:p>
        </w:tc>
        <w:tc>
          <w:tcPr>
            <w:tcW w:w="1602" w:type="dxa"/>
          </w:tcPr>
          <w:p w14:paraId="58010B50" w14:textId="77777777" w:rsidR="00BF249E" w:rsidRPr="00BF249E" w:rsidRDefault="00BF249E" w:rsidP="00BF249E">
            <w:pPr>
              <w:ind w:left="0"/>
            </w:pPr>
          </w:p>
        </w:tc>
      </w:tr>
      <w:tr w:rsidR="00BF249E" w:rsidRPr="00452261" w14:paraId="1970E88D" w14:textId="3B1BDB12" w:rsidTr="00BF249E">
        <w:tc>
          <w:tcPr>
            <w:tcW w:w="1318" w:type="dxa"/>
          </w:tcPr>
          <w:p w14:paraId="11F443D0" w14:textId="77777777" w:rsidR="00BF249E" w:rsidRPr="00BF249E" w:rsidRDefault="00BF249E" w:rsidP="00BF249E">
            <w:pPr>
              <w:ind w:left="0"/>
              <w:rPr>
                <w:b/>
              </w:rPr>
            </w:pPr>
          </w:p>
        </w:tc>
        <w:tc>
          <w:tcPr>
            <w:tcW w:w="1436" w:type="dxa"/>
          </w:tcPr>
          <w:p w14:paraId="62DA3836" w14:textId="77777777" w:rsidR="00BF249E" w:rsidRPr="00BF249E" w:rsidRDefault="00BF249E" w:rsidP="00BF249E">
            <w:pPr>
              <w:ind w:left="0"/>
            </w:pPr>
          </w:p>
        </w:tc>
        <w:tc>
          <w:tcPr>
            <w:tcW w:w="1955" w:type="dxa"/>
          </w:tcPr>
          <w:p w14:paraId="68AB4B8D" w14:textId="77777777" w:rsidR="00BF249E" w:rsidRPr="00BF249E" w:rsidRDefault="00BF249E" w:rsidP="00BF249E">
            <w:pPr>
              <w:ind w:left="0"/>
            </w:pPr>
          </w:p>
        </w:tc>
        <w:tc>
          <w:tcPr>
            <w:tcW w:w="2211" w:type="dxa"/>
          </w:tcPr>
          <w:p w14:paraId="0E7E5B8F" w14:textId="77777777" w:rsidR="00BF249E" w:rsidRPr="00BF249E" w:rsidRDefault="00BF249E" w:rsidP="00BF249E">
            <w:pPr>
              <w:ind w:left="0"/>
            </w:pPr>
          </w:p>
        </w:tc>
        <w:tc>
          <w:tcPr>
            <w:tcW w:w="2064" w:type="dxa"/>
          </w:tcPr>
          <w:p w14:paraId="208B2FAE" w14:textId="77777777" w:rsidR="00BF249E" w:rsidRPr="00BF249E" w:rsidRDefault="00BF249E" w:rsidP="00BF249E">
            <w:pPr>
              <w:ind w:left="0"/>
            </w:pPr>
          </w:p>
        </w:tc>
        <w:tc>
          <w:tcPr>
            <w:tcW w:w="2097" w:type="dxa"/>
          </w:tcPr>
          <w:p w14:paraId="16B0D891" w14:textId="77777777" w:rsidR="00BF249E" w:rsidRPr="00BF249E" w:rsidRDefault="00BF249E" w:rsidP="00BF249E">
            <w:pPr>
              <w:ind w:left="0"/>
            </w:pPr>
          </w:p>
        </w:tc>
        <w:tc>
          <w:tcPr>
            <w:tcW w:w="1790" w:type="dxa"/>
          </w:tcPr>
          <w:p w14:paraId="1ECB3DB8" w14:textId="77777777" w:rsidR="00BF249E" w:rsidRPr="00BF249E" w:rsidRDefault="00BF249E" w:rsidP="00BF249E">
            <w:pPr>
              <w:ind w:left="0"/>
            </w:pPr>
          </w:p>
        </w:tc>
        <w:tc>
          <w:tcPr>
            <w:tcW w:w="1602" w:type="dxa"/>
          </w:tcPr>
          <w:p w14:paraId="36B027AB" w14:textId="77777777" w:rsidR="00BF249E" w:rsidRPr="00BF249E" w:rsidRDefault="00BF249E" w:rsidP="00BF249E">
            <w:pPr>
              <w:ind w:left="0"/>
            </w:pPr>
          </w:p>
        </w:tc>
      </w:tr>
      <w:tr w:rsidR="00BF249E" w:rsidRPr="00452261" w14:paraId="69F51F08" w14:textId="1EEE94B4" w:rsidTr="00BF249E">
        <w:tc>
          <w:tcPr>
            <w:tcW w:w="1318" w:type="dxa"/>
          </w:tcPr>
          <w:p w14:paraId="1B9633B4" w14:textId="77777777" w:rsidR="00BF249E" w:rsidRPr="00BF249E" w:rsidRDefault="00BF249E" w:rsidP="00BF249E">
            <w:pPr>
              <w:ind w:left="0"/>
              <w:rPr>
                <w:b/>
              </w:rPr>
            </w:pPr>
          </w:p>
        </w:tc>
        <w:tc>
          <w:tcPr>
            <w:tcW w:w="1436" w:type="dxa"/>
          </w:tcPr>
          <w:p w14:paraId="6C4A48FE" w14:textId="77777777" w:rsidR="00BF249E" w:rsidRPr="00BF249E" w:rsidRDefault="00BF249E" w:rsidP="00BF249E">
            <w:pPr>
              <w:ind w:left="0"/>
            </w:pPr>
          </w:p>
        </w:tc>
        <w:tc>
          <w:tcPr>
            <w:tcW w:w="1955" w:type="dxa"/>
          </w:tcPr>
          <w:p w14:paraId="78DF38D9" w14:textId="77777777" w:rsidR="00BF249E" w:rsidRPr="00BF249E" w:rsidRDefault="00BF249E" w:rsidP="00BF249E">
            <w:pPr>
              <w:ind w:left="0"/>
            </w:pPr>
          </w:p>
        </w:tc>
        <w:tc>
          <w:tcPr>
            <w:tcW w:w="2211" w:type="dxa"/>
          </w:tcPr>
          <w:p w14:paraId="2694D159" w14:textId="77777777" w:rsidR="00BF249E" w:rsidRPr="00BF249E" w:rsidRDefault="00BF249E" w:rsidP="00BF249E">
            <w:pPr>
              <w:ind w:left="0"/>
            </w:pPr>
          </w:p>
        </w:tc>
        <w:tc>
          <w:tcPr>
            <w:tcW w:w="2064" w:type="dxa"/>
          </w:tcPr>
          <w:p w14:paraId="36300831" w14:textId="77777777" w:rsidR="00BF249E" w:rsidRPr="00BF249E" w:rsidRDefault="00BF249E" w:rsidP="00BF249E">
            <w:pPr>
              <w:ind w:left="0"/>
            </w:pPr>
          </w:p>
        </w:tc>
        <w:tc>
          <w:tcPr>
            <w:tcW w:w="2097" w:type="dxa"/>
          </w:tcPr>
          <w:p w14:paraId="6BB716DD" w14:textId="77777777" w:rsidR="00BF249E" w:rsidRPr="00BF249E" w:rsidRDefault="00BF249E" w:rsidP="00BF249E">
            <w:pPr>
              <w:ind w:left="0"/>
            </w:pPr>
          </w:p>
        </w:tc>
        <w:tc>
          <w:tcPr>
            <w:tcW w:w="1790" w:type="dxa"/>
          </w:tcPr>
          <w:p w14:paraId="33D67F21" w14:textId="77777777" w:rsidR="00BF249E" w:rsidRPr="00BF249E" w:rsidRDefault="00BF249E" w:rsidP="00BF249E">
            <w:pPr>
              <w:ind w:left="0"/>
            </w:pPr>
          </w:p>
        </w:tc>
        <w:tc>
          <w:tcPr>
            <w:tcW w:w="1602" w:type="dxa"/>
          </w:tcPr>
          <w:p w14:paraId="41CB7F1A" w14:textId="77777777" w:rsidR="00BF249E" w:rsidRPr="00BF249E" w:rsidRDefault="00BF249E" w:rsidP="00BF249E">
            <w:pPr>
              <w:ind w:left="0"/>
            </w:pPr>
          </w:p>
        </w:tc>
      </w:tr>
      <w:tr w:rsidR="00BF249E" w:rsidRPr="00452261" w14:paraId="657FCE33" w14:textId="36D7EDC0" w:rsidTr="00BF249E">
        <w:tc>
          <w:tcPr>
            <w:tcW w:w="1318" w:type="dxa"/>
          </w:tcPr>
          <w:p w14:paraId="7BB474C2" w14:textId="6810B5B7" w:rsidR="00BF249E" w:rsidRPr="00BF249E" w:rsidRDefault="00BF249E" w:rsidP="00BF249E">
            <w:pPr>
              <w:ind w:left="0"/>
              <w:rPr>
                <w:b/>
              </w:rPr>
            </w:pPr>
            <w:r w:rsidRPr="00BF249E">
              <w:rPr>
                <w:b/>
              </w:rPr>
              <w:t>Internal (BCIT)</w:t>
            </w:r>
          </w:p>
        </w:tc>
        <w:tc>
          <w:tcPr>
            <w:tcW w:w="1436" w:type="dxa"/>
          </w:tcPr>
          <w:p w14:paraId="54F0242C" w14:textId="77777777" w:rsidR="00BF249E" w:rsidRPr="00BF249E" w:rsidRDefault="00BF249E" w:rsidP="00BF249E">
            <w:pPr>
              <w:ind w:left="0"/>
            </w:pPr>
          </w:p>
        </w:tc>
        <w:tc>
          <w:tcPr>
            <w:tcW w:w="1955" w:type="dxa"/>
          </w:tcPr>
          <w:p w14:paraId="1BA882D4" w14:textId="77777777" w:rsidR="00BF249E" w:rsidRPr="00BF249E" w:rsidRDefault="00BF249E" w:rsidP="00BF249E">
            <w:pPr>
              <w:ind w:left="0"/>
            </w:pPr>
          </w:p>
        </w:tc>
        <w:tc>
          <w:tcPr>
            <w:tcW w:w="2211" w:type="dxa"/>
          </w:tcPr>
          <w:p w14:paraId="2AAFC680" w14:textId="77777777" w:rsidR="00BF249E" w:rsidRPr="00BF249E" w:rsidRDefault="00BF249E" w:rsidP="00BF249E">
            <w:pPr>
              <w:ind w:left="0"/>
            </w:pPr>
          </w:p>
        </w:tc>
        <w:tc>
          <w:tcPr>
            <w:tcW w:w="2064" w:type="dxa"/>
          </w:tcPr>
          <w:p w14:paraId="345EDAEB" w14:textId="77777777" w:rsidR="00BF249E" w:rsidRPr="00BF249E" w:rsidRDefault="00BF249E" w:rsidP="00BF249E">
            <w:pPr>
              <w:ind w:left="0"/>
            </w:pPr>
          </w:p>
        </w:tc>
        <w:tc>
          <w:tcPr>
            <w:tcW w:w="2097" w:type="dxa"/>
          </w:tcPr>
          <w:p w14:paraId="3601289D" w14:textId="77777777" w:rsidR="00BF249E" w:rsidRPr="00BF249E" w:rsidRDefault="00BF249E" w:rsidP="00BF249E">
            <w:pPr>
              <w:ind w:left="0"/>
            </w:pPr>
          </w:p>
        </w:tc>
        <w:tc>
          <w:tcPr>
            <w:tcW w:w="1790" w:type="dxa"/>
          </w:tcPr>
          <w:p w14:paraId="630F226A" w14:textId="77777777" w:rsidR="00BF249E" w:rsidRPr="00BF249E" w:rsidRDefault="00BF249E" w:rsidP="00BF249E">
            <w:pPr>
              <w:ind w:left="0"/>
            </w:pPr>
          </w:p>
        </w:tc>
        <w:tc>
          <w:tcPr>
            <w:tcW w:w="1602" w:type="dxa"/>
          </w:tcPr>
          <w:p w14:paraId="14C8A868" w14:textId="77777777" w:rsidR="00BF249E" w:rsidRPr="00BF249E" w:rsidRDefault="00BF249E" w:rsidP="00BF249E">
            <w:pPr>
              <w:ind w:left="0"/>
            </w:pPr>
          </w:p>
        </w:tc>
      </w:tr>
      <w:tr w:rsidR="00BF249E" w:rsidRPr="00452261" w14:paraId="01A45155" w14:textId="70F16676" w:rsidTr="00BF249E">
        <w:tc>
          <w:tcPr>
            <w:tcW w:w="1318" w:type="dxa"/>
          </w:tcPr>
          <w:p w14:paraId="0DB9786B" w14:textId="77777777" w:rsidR="00BF249E" w:rsidRPr="00BF249E" w:rsidRDefault="00BF249E" w:rsidP="00BF249E">
            <w:pPr>
              <w:ind w:left="0"/>
              <w:rPr>
                <w:b/>
              </w:rPr>
            </w:pPr>
          </w:p>
        </w:tc>
        <w:tc>
          <w:tcPr>
            <w:tcW w:w="1436" w:type="dxa"/>
          </w:tcPr>
          <w:p w14:paraId="1F4D4D88" w14:textId="77777777" w:rsidR="00BF249E" w:rsidRPr="00BF249E" w:rsidRDefault="00BF249E" w:rsidP="00BF249E">
            <w:pPr>
              <w:ind w:left="0"/>
            </w:pPr>
          </w:p>
        </w:tc>
        <w:tc>
          <w:tcPr>
            <w:tcW w:w="1955" w:type="dxa"/>
          </w:tcPr>
          <w:p w14:paraId="73A417C5" w14:textId="77777777" w:rsidR="00BF249E" w:rsidRPr="00BF249E" w:rsidRDefault="00BF249E" w:rsidP="00BF249E">
            <w:pPr>
              <w:ind w:left="0"/>
            </w:pPr>
          </w:p>
        </w:tc>
        <w:tc>
          <w:tcPr>
            <w:tcW w:w="2211" w:type="dxa"/>
          </w:tcPr>
          <w:p w14:paraId="7930D7B3" w14:textId="77777777" w:rsidR="00BF249E" w:rsidRPr="00BF249E" w:rsidRDefault="00BF249E" w:rsidP="00BF249E">
            <w:pPr>
              <w:ind w:left="0"/>
            </w:pPr>
          </w:p>
        </w:tc>
        <w:tc>
          <w:tcPr>
            <w:tcW w:w="2064" w:type="dxa"/>
          </w:tcPr>
          <w:p w14:paraId="61CFE709" w14:textId="77777777" w:rsidR="00BF249E" w:rsidRPr="00BF249E" w:rsidRDefault="00BF249E" w:rsidP="00BF249E">
            <w:pPr>
              <w:ind w:left="0"/>
            </w:pPr>
          </w:p>
        </w:tc>
        <w:tc>
          <w:tcPr>
            <w:tcW w:w="2097" w:type="dxa"/>
          </w:tcPr>
          <w:p w14:paraId="7FDF2B98" w14:textId="77777777" w:rsidR="00BF249E" w:rsidRPr="00BF249E" w:rsidRDefault="00BF249E" w:rsidP="00BF249E">
            <w:pPr>
              <w:ind w:left="0"/>
            </w:pPr>
          </w:p>
        </w:tc>
        <w:tc>
          <w:tcPr>
            <w:tcW w:w="1790" w:type="dxa"/>
          </w:tcPr>
          <w:p w14:paraId="2F985291" w14:textId="77777777" w:rsidR="00BF249E" w:rsidRPr="00BF249E" w:rsidRDefault="00BF249E" w:rsidP="00BF249E">
            <w:pPr>
              <w:ind w:left="0"/>
            </w:pPr>
          </w:p>
        </w:tc>
        <w:tc>
          <w:tcPr>
            <w:tcW w:w="1602" w:type="dxa"/>
          </w:tcPr>
          <w:p w14:paraId="77F49E0C" w14:textId="77777777" w:rsidR="00BF249E" w:rsidRPr="00BF249E" w:rsidRDefault="00BF249E" w:rsidP="00BF249E">
            <w:pPr>
              <w:ind w:left="0"/>
            </w:pPr>
          </w:p>
        </w:tc>
      </w:tr>
      <w:tr w:rsidR="00BF249E" w:rsidRPr="00452261" w14:paraId="26BE3E1E" w14:textId="7E6022D3" w:rsidTr="00BF249E">
        <w:tc>
          <w:tcPr>
            <w:tcW w:w="1318" w:type="dxa"/>
          </w:tcPr>
          <w:p w14:paraId="4ADBD073" w14:textId="77777777" w:rsidR="00BF249E" w:rsidRPr="00BF249E" w:rsidRDefault="00BF249E" w:rsidP="00BF249E">
            <w:pPr>
              <w:ind w:left="0"/>
              <w:rPr>
                <w:b/>
              </w:rPr>
            </w:pPr>
          </w:p>
        </w:tc>
        <w:tc>
          <w:tcPr>
            <w:tcW w:w="1436" w:type="dxa"/>
          </w:tcPr>
          <w:p w14:paraId="6DD8AE61" w14:textId="77777777" w:rsidR="00BF249E" w:rsidRPr="00BF249E" w:rsidRDefault="00BF249E" w:rsidP="00BF249E">
            <w:pPr>
              <w:ind w:left="0"/>
            </w:pPr>
          </w:p>
        </w:tc>
        <w:tc>
          <w:tcPr>
            <w:tcW w:w="1955" w:type="dxa"/>
          </w:tcPr>
          <w:p w14:paraId="2CA6C0F1" w14:textId="77777777" w:rsidR="00BF249E" w:rsidRPr="00BF249E" w:rsidRDefault="00BF249E" w:rsidP="00BF249E">
            <w:pPr>
              <w:ind w:left="0"/>
            </w:pPr>
          </w:p>
        </w:tc>
        <w:tc>
          <w:tcPr>
            <w:tcW w:w="2211" w:type="dxa"/>
          </w:tcPr>
          <w:p w14:paraId="1444A137" w14:textId="77777777" w:rsidR="00BF249E" w:rsidRPr="00BF249E" w:rsidRDefault="00BF249E" w:rsidP="00BF249E">
            <w:pPr>
              <w:ind w:left="0"/>
            </w:pPr>
          </w:p>
        </w:tc>
        <w:tc>
          <w:tcPr>
            <w:tcW w:w="2064" w:type="dxa"/>
          </w:tcPr>
          <w:p w14:paraId="27E96F48" w14:textId="77777777" w:rsidR="00BF249E" w:rsidRPr="00BF249E" w:rsidRDefault="00BF249E" w:rsidP="00BF249E">
            <w:pPr>
              <w:ind w:left="0"/>
            </w:pPr>
          </w:p>
        </w:tc>
        <w:tc>
          <w:tcPr>
            <w:tcW w:w="2097" w:type="dxa"/>
          </w:tcPr>
          <w:p w14:paraId="415EEEC1" w14:textId="77777777" w:rsidR="00BF249E" w:rsidRPr="00BF249E" w:rsidRDefault="00BF249E" w:rsidP="00BF249E">
            <w:pPr>
              <w:ind w:left="0"/>
            </w:pPr>
          </w:p>
        </w:tc>
        <w:tc>
          <w:tcPr>
            <w:tcW w:w="1790" w:type="dxa"/>
          </w:tcPr>
          <w:p w14:paraId="71FA3488" w14:textId="77777777" w:rsidR="00BF249E" w:rsidRPr="00BF249E" w:rsidRDefault="00BF249E" w:rsidP="00BF249E">
            <w:pPr>
              <w:ind w:left="0"/>
            </w:pPr>
          </w:p>
        </w:tc>
        <w:tc>
          <w:tcPr>
            <w:tcW w:w="1602" w:type="dxa"/>
          </w:tcPr>
          <w:p w14:paraId="4924EB38" w14:textId="77777777" w:rsidR="00BF249E" w:rsidRPr="00BF249E" w:rsidRDefault="00BF249E" w:rsidP="00BF249E">
            <w:pPr>
              <w:ind w:left="0"/>
            </w:pPr>
          </w:p>
        </w:tc>
      </w:tr>
      <w:tr w:rsidR="00BF249E" w:rsidRPr="00452261" w14:paraId="673BECAB" w14:textId="286092D8" w:rsidTr="00BF249E">
        <w:tc>
          <w:tcPr>
            <w:tcW w:w="1318" w:type="dxa"/>
          </w:tcPr>
          <w:p w14:paraId="6591AF1A" w14:textId="77777777" w:rsidR="00BF249E" w:rsidRPr="00BF249E" w:rsidRDefault="00BF249E" w:rsidP="00BF249E">
            <w:pPr>
              <w:ind w:left="0"/>
              <w:rPr>
                <w:b/>
              </w:rPr>
            </w:pPr>
          </w:p>
        </w:tc>
        <w:tc>
          <w:tcPr>
            <w:tcW w:w="1436" w:type="dxa"/>
          </w:tcPr>
          <w:p w14:paraId="20F776C7" w14:textId="77777777" w:rsidR="00BF249E" w:rsidRPr="00BF249E" w:rsidRDefault="00BF249E" w:rsidP="00BF249E">
            <w:pPr>
              <w:ind w:left="0"/>
            </w:pPr>
          </w:p>
        </w:tc>
        <w:tc>
          <w:tcPr>
            <w:tcW w:w="1955" w:type="dxa"/>
          </w:tcPr>
          <w:p w14:paraId="50946D36" w14:textId="77777777" w:rsidR="00BF249E" w:rsidRPr="00BF249E" w:rsidRDefault="00BF249E" w:rsidP="00BF249E">
            <w:pPr>
              <w:ind w:left="0"/>
            </w:pPr>
          </w:p>
        </w:tc>
        <w:tc>
          <w:tcPr>
            <w:tcW w:w="2211" w:type="dxa"/>
          </w:tcPr>
          <w:p w14:paraId="692E7DF1" w14:textId="77777777" w:rsidR="00BF249E" w:rsidRPr="00BF249E" w:rsidRDefault="00BF249E" w:rsidP="00BF249E">
            <w:pPr>
              <w:ind w:left="0"/>
            </w:pPr>
          </w:p>
        </w:tc>
        <w:tc>
          <w:tcPr>
            <w:tcW w:w="2064" w:type="dxa"/>
          </w:tcPr>
          <w:p w14:paraId="37A271C6" w14:textId="77777777" w:rsidR="00BF249E" w:rsidRPr="00BF249E" w:rsidRDefault="00BF249E" w:rsidP="00BF249E">
            <w:pPr>
              <w:ind w:left="0"/>
            </w:pPr>
          </w:p>
        </w:tc>
        <w:tc>
          <w:tcPr>
            <w:tcW w:w="2097" w:type="dxa"/>
          </w:tcPr>
          <w:p w14:paraId="6DF38FFE" w14:textId="77777777" w:rsidR="00BF249E" w:rsidRPr="00BF249E" w:rsidRDefault="00BF249E" w:rsidP="00BF249E">
            <w:pPr>
              <w:ind w:left="0"/>
            </w:pPr>
          </w:p>
        </w:tc>
        <w:tc>
          <w:tcPr>
            <w:tcW w:w="1790" w:type="dxa"/>
          </w:tcPr>
          <w:p w14:paraId="33E80606" w14:textId="77777777" w:rsidR="00BF249E" w:rsidRPr="00BF249E" w:rsidRDefault="00BF249E" w:rsidP="00BF249E">
            <w:pPr>
              <w:ind w:left="0"/>
            </w:pPr>
          </w:p>
        </w:tc>
        <w:tc>
          <w:tcPr>
            <w:tcW w:w="1602" w:type="dxa"/>
          </w:tcPr>
          <w:p w14:paraId="1BEE3798" w14:textId="77777777" w:rsidR="00BF249E" w:rsidRPr="00BF249E" w:rsidRDefault="00BF249E" w:rsidP="00BF249E">
            <w:pPr>
              <w:ind w:left="0"/>
            </w:pPr>
          </w:p>
        </w:tc>
      </w:tr>
    </w:tbl>
    <w:p w14:paraId="060D8D98" w14:textId="70CA529B" w:rsidR="004A004C" w:rsidRPr="00BF249E" w:rsidRDefault="00452261">
      <w:pPr>
        <w:rPr>
          <w:rFonts w:cs="Times New Roman"/>
        </w:rPr>
      </w:pPr>
      <w:r w:rsidRPr="00BF249E">
        <w:rPr>
          <w:rFonts w:cs="Times New Roman"/>
          <w:noProof/>
          <w:lang w:val="en-CA" w:eastAsia="en-CA"/>
        </w:rPr>
        <mc:AlternateContent>
          <mc:Choice Requires="wps">
            <w:drawing>
              <wp:anchor distT="0" distB="0" distL="114300" distR="114300" simplePos="0" relativeHeight="251659264" behindDoc="0" locked="0" layoutInCell="1" allowOverlap="1" wp14:anchorId="6902E921" wp14:editId="70B4BE0E">
                <wp:simplePos x="0" y="0"/>
                <wp:positionH relativeFrom="margin">
                  <wp:align>right</wp:align>
                </wp:positionH>
                <wp:positionV relativeFrom="paragraph">
                  <wp:posOffset>248285</wp:posOffset>
                </wp:positionV>
                <wp:extent cx="9163050" cy="1176655"/>
                <wp:effectExtent l="0" t="0" r="19050" b="23495"/>
                <wp:wrapSquare wrapText="bothSides"/>
                <wp:docPr id="2" name="Text Box 2"/>
                <wp:cNvGraphicFramePr/>
                <a:graphic xmlns:a="http://schemas.openxmlformats.org/drawingml/2006/main">
                  <a:graphicData uri="http://schemas.microsoft.com/office/word/2010/wordprocessingShape">
                    <wps:wsp>
                      <wps:cNvSpPr txBox="1"/>
                      <wps:spPr>
                        <a:xfrm>
                          <a:off x="0" y="0"/>
                          <a:ext cx="9163050" cy="1176655"/>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B2FAE9" w14:textId="6F18ADEA" w:rsidR="00013DC2" w:rsidRPr="00BF249E" w:rsidRDefault="004A004C" w:rsidP="00BF249E">
                            <w:pPr>
                              <w:widowControl w:val="0"/>
                              <w:autoSpaceDE w:val="0"/>
                              <w:autoSpaceDN w:val="0"/>
                              <w:adjustRightInd w:val="0"/>
                              <w:ind w:left="0"/>
                              <w:rPr>
                                <w:rFonts w:cs="Times New Roman"/>
                                <w:b/>
                                <w:color w:val="132B48"/>
                                <w:sz w:val="20"/>
                                <w:szCs w:val="20"/>
                              </w:rPr>
                            </w:pPr>
                            <w:r w:rsidRPr="00BF249E">
                              <w:rPr>
                                <w:rFonts w:cs="Times New Roman"/>
                                <w:b/>
                                <w:color w:val="132B48"/>
                                <w:sz w:val="20"/>
                                <w:szCs w:val="20"/>
                              </w:rPr>
                              <w:t xml:space="preserve">* </w:t>
                            </w:r>
                            <w:r w:rsidR="00013DC2" w:rsidRPr="00BF249E">
                              <w:rPr>
                                <w:rFonts w:cs="Times New Roman"/>
                                <w:b/>
                                <w:color w:val="132B48"/>
                                <w:sz w:val="20"/>
                                <w:szCs w:val="20"/>
                              </w:rPr>
                              <w:t>Notes:</w:t>
                            </w:r>
                          </w:p>
                          <w:p w14:paraId="48508480" w14:textId="7650466E" w:rsidR="00013DC2" w:rsidRPr="00BF249E" w:rsidRDefault="00013DC2" w:rsidP="00BF249E">
                            <w:pPr>
                              <w:pStyle w:val="ListParagraph"/>
                              <w:widowControl w:val="0"/>
                              <w:numPr>
                                <w:ilvl w:val="0"/>
                                <w:numId w:val="3"/>
                              </w:numPr>
                              <w:autoSpaceDE w:val="0"/>
                              <w:autoSpaceDN w:val="0"/>
                              <w:adjustRightInd w:val="0"/>
                              <w:rPr>
                                <w:rFonts w:cs="Times New Roman"/>
                                <w:color w:val="132B48"/>
                                <w:sz w:val="20"/>
                                <w:szCs w:val="20"/>
                              </w:rPr>
                            </w:pPr>
                            <w:r w:rsidRPr="00BF249E">
                              <w:rPr>
                                <w:rFonts w:cs="Times New Roman"/>
                                <w:color w:val="132B48"/>
                                <w:sz w:val="20"/>
                                <w:szCs w:val="20"/>
                              </w:rPr>
                              <w:t>The final External Review Team (ERT) will be 3 members</w:t>
                            </w:r>
                            <w:r w:rsidR="00641EE2" w:rsidRPr="00BF249E">
                              <w:rPr>
                                <w:rFonts w:cs="Times New Roman"/>
                                <w:color w:val="132B48"/>
                                <w:sz w:val="20"/>
                                <w:szCs w:val="20"/>
                              </w:rPr>
                              <w:t xml:space="preserve"> (see Program Review Manual for details)</w:t>
                            </w:r>
                            <w:r w:rsidRPr="00BF249E">
                              <w:rPr>
                                <w:rFonts w:cs="Times New Roman"/>
                                <w:color w:val="132B48"/>
                                <w:sz w:val="20"/>
                                <w:szCs w:val="20"/>
                              </w:rPr>
                              <w:t>:</w:t>
                            </w:r>
                          </w:p>
                          <w:p w14:paraId="53F803C2" w14:textId="0ACB3D24" w:rsidR="00013DC2" w:rsidRPr="001867C3" w:rsidRDefault="00013DC2" w:rsidP="009349D4">
                            <w:pPr>
                              <w:pStyle w:val="ListParagraph"/>
                              <w:widowControl w:val="0"/>
                              <w:numPr>
                                <w:ilvl w:val="0"/>
                                <w:numId w:val="6"/>
                              </w:numPr>
                              <w:autoSpaceDE w:val="0"/>
                              <w:autoSpaceDN w:val="0"/>
                              <w:adjustRightInd w:val="0"/>
                              <w:rPr>
                                <w:rFonts w:cs="Times New Roman"/>
                                <w:color w:val="132B48"/>
                                <w:sz w:val="20"/>
                                <w:szCs w:val="20"/>
                              </w:rPr>
                            </w:pPr>
                            <w:r w:rsidRPr="00BF249E">
                              <w:rPr>
                                <w:rFonts w:cs="Times New Roman"/>
                                <w:color w:val="132B48"/>
                                <w:sz w:val="20"/>
                                <w:szCs w:val="20"/>
                              </w:rPr>
                              <w:t>External academic peer from another post-secondary institution (ideally from similar program</w:t>
                            </w:r>
                            <w:r w:rsidR="003411A3">
                              <w:rPr>
                                <w:rFonts w:cs="Times New Roman"/>
                                <w:color w:val="132B48"/>
                                <w:sz w:val="20"/>
                                <w:szCs w:val="20"/>
                              </w:rPr>
                              <w:t>s</w:t>
                            </w:r>
                            <w:r w:rsidR="003411A3" w:rsidRPr="003411A3">
                              <w:rPr>
                                <w:rFonts w:cs="Times New Roman"/>
                                <w:color w:val="132B48"/>
                                <w:sz w:val="20"/>
                                <w:szCs w:val="20"/>
                              </w:rPr>
                              <w:t xml:space="preserve"> that are represented in the benchmarking table in the SSR</w:t>
                            </w:r>
                            <w:r w:rsidRPr="001867C3">
                              <w:rPr>
                                <w:rFonts w:cs="Times New Roman"/>
                                <w:color w:val="132B48"/>
                                <w:sz w:val="20"/>
                                <w:szCs w:val="20"/>
                              </w:rPr>
                              <w:t>)</w:t>
                            </w:r>
                          </w:p>
                          <w:p w14:paraId="6CB4FA79" w14:textId="5CA47ADD" w:rsidR="00013DC2" w:rsidRPr="00BF249E" w:rsidRDefault="00013DC2" w:rsidP="00BF249E">
                            <w:pPr>
                              <w:pStyle w:val="ListParagraph"/>
                              <w:widowControl w:val="0"/>
                              <w:numPr>
                                <w:ilvl w:val="0"/>
                                <w:numId w:val="6"/>
                              </w:numPr>
                              <w:autoSpaceDE w:val="0"/>
                              <w:autoSpaceDN w:val="0"/>
                              <w:adjustRightInd w:val="0"/>
                              <w:rPr>
                                <w:rFonts w:cs="Times New Roman"/>
                                <w:color w:val="132B48"/>
                                <w:sz w:val="20"/>
                                <w:szCs w:val="20"/>
                              </w:rPr>
                            </w:pPr>
                            <w:r w:rsidRPr="00BF249E">
                              <w:rPr>
                                <w:rFonts w:cs="Times New Roman"/>
                                <w:color w:val="132B48"/>
                                <w:sz w:val="20"/>
                                <w:szCs w:val="20"/>
                              </w:rPr>
                              <w:t>External academic</w:t>
                            </w:r>
                            <w:r w:rsidR="00641EE2" w:rsidRPr="00BF249E">
                              <w:rPr>
                                <w:rFonts w:cs="Times New Roman"/>
                                <w:color w:val="132B48"/>
                                <w:sz w:val="20"/>
                                <w:szCs w:val="20"/>
                              </w:rPr>
                              <w:t xml:space="preserve"> peer</w:t>
                            </w:r>
                            <w:r w:rsidRPr="00BF249E">
                              <w:rPr>
                                <w:rFonts w:cs="Times New Roman"/>
                                <w:color w:val="132B48"/>
                                <w:sz w:val="20"/>
                                <w:szCs w:val="20"/>
                              </w:rPr>
                              <w:t xml:space="preserve"> OR member from industry</w:t>
                            </w:r>
                            <w:r w:rsidR="009349D4">
                              <w:rPr>
                                <w:rFonts w:cs="Times New Roman"/>
                                <w:color w:val="132B48"/>
                                <w:sz w:val="20"/>
                                <w:szCs w:val="20"/>
                              </w:rPr>
                              <w:t xml:space="preserve"> (e.g. an employer of graduates of the program who is not a PAC member)</w:t>
                            </w:r>
                          </w:p>
                          <w:p w14:paraId="1A8F1BFF" w14:textId="0D4889DC" w:rsidR="004A004C" w:rsidRPr="00BF249E" w:rsidRDefault="00013DC2" w:rsidP="00BF249E">
                            <w:pPr>
                              <w:pStyle w:val="ListParagraph"/>
                              <w:widowControl w:val="0"/>
                              <w:numPr>
                                <w:ilvl w:val="0"/>
                                <w:numId w:val="6"/>
                              </w:numPr>
                              <w:autoSpaceDE w:val="0"/>
                              <w:autoSpaceDN w:val="0"/>
                              <w:adjustRightInd w:val="0"/>
                              <w:rPr>
                                <w:rFonts w:cs="Times New Roman"/>
                                <w:color w:val="132B48"/>
                                <w:sz w:val="20"/>
                                <w:szCs w:val="20"/>
                              </w:rPr>
                            </w:pPr>
                            <w:r w:rsidRPr="00BF249E">
                              <w:rPr>
                                <w:rFonts w:cs="Times New Roman"/>
                                <w:color w:val="132B48"/>
                                <w:sz w:val="20"/>
                                <w:szCs w:val="20"/>
                              </w:rPr>
                              <w:t>Internal academic (internal to BCIT, outside your school and from a program currently not under review)</w:t>
                            </w:r>
                          </w:p>
                          <w:p w14:paraId="62E39C54" w14:textId="7CDE7196" w:rsidR="00013DC2" w:rsidRDefault="00013DC2" w:rsidP="00BF249E">
                            <w:pPr>
                              <w:pStyle w:val="ListParagraph"/>
                              <w:widowControl w:val="0"/>
                              <w:numPr>
                                <w:ilvl w:val="0"/>
                                <w:numId w:val="3"/>
                              </w:numPr>
                              <w:autoSpaceDE w:val="0"/>
                              <w:autoSpaceDN w:val="0"/>
                              <w:adjustRightInd w:val="0"/>
                              <w:rPr>
                                <w:rFonts w:cs="Times New Roman"/>
                                <w:color w:val="132B48"/>
                                <w:sz w:val="20"/>
                                <w:szCs w:val="20"/>
                              </w:rPr>
                            </w:pPr>
                            <w:r w:rsidRPr="00BF249E">
                              <w:rPr>
                                <w:rFonts w:cs="Times New Roman"/>
                                <w:color w:val="132B48"/>
                                <w:sz w:val="20"/>
                                <w:szCs w:val="20"/>
                              </w:rPr>
                              <w:t xml:space="preserve">Programs should put forward </w:t>
                            </w:r>
                            <w:r w:rsidR="00471BA5">
                              <w:rPr>
                                <w:rFonts w:cs="Times New Roman"/>
                                <w:color w:val="132B48"/>
                                <w:sz w:val="20"/>
                                <w:szCs w:val="20"/>
                              </w:rPr>
                              <w:t>4 - 6 external</w:t>
                            </w:r>
                            <w:r w:rsidRPr="00BF249E">
                              <w:rPr>
                                <w:rFonts w:cs="Times New Roman"/>
                                <w:color w:val="132B48"/>
                                <w:sz w:val="20"/>
                                <w:szCs w:val="20"/>
                              </w:rPr>
                              <w:t xml:space="preserve"> candidates</w:t>
                            </w:r>
                            <w:r w:rsidR="00471BA5">
                              <w:rPr>
                                <w:rFonts w:cs="Times New Roman"/>
                                <w:color w:val="132B48"/>
                                <w:sz w:val="20"/>
                                <w:szCs w:val="20"/>
                              </w:rPr>
                              <w:t xml:space="preserve"> and 2 – 3 internal candidates respectively</w:t>
                            </w:r>
                            <w:r w:rsidRPr="00BF249E">
                              <w:rPr>
                                <w:rFonts w:cs="Times New Roman"/>
                                <w:color w:val="132B48"/>
                                <w:sz w:val="20"/>
                                <w:szCs w:val="20"/>
                              </w:rPr>
                              <w:t xml:space="preserve">, making sure there are representatives for all 3 categories outlined above.  Final ERT members will be selected from the list of candidates by the </w:t>
                            </w:r>
                            <w:r w:rsidR="006D6918" w:rsidRPr="00BF249E">
                              <w:rPr>
                                <w:rFonts w:cs="Times New Roman"/>
                                <w:color w:val="132B48"/>
                                <w:sz w:val="20"/>
                                <w:szCs w:val="20"/>
                              </w:rPr>
                              <w:t xml:space="preserve">School </w:t>
                            </w:r>
                            <w:r w:rsidRPr="00BF249E">
                              <w:rPr>
                                <w:rFonts w:cs="Times New Roman"/>
                                <w:color w:val="132B48"/>
                                <w:sz w:val="20"/>
                                <w:szCs w:val="20"/>
                              </w:rPr>
                              <w:t xml:space="preserve">Dean and the </w:t>
                            </w:r>
                            <w:r w:rsidR="006D6918" w:rsidRPr="00BF249E">
                              <w:rPr>
                                <w:rFonts w:cs="Times New Roman"/>
                                <w:color w:val="132B48"/>
                                <w:sz w:val="20"/>
                                <w:szCs w:val="20"/>
                              </w:rPr>
                              <w:t>Dean, Academic Planning &amp; Quality Assurance</w:t>
                            </w:r>
                            <w:r w:rsidRPr="00BF249E">
                              <w:rPr>
                                <w:rFonts w:cs="Times New Roman"/>
                                <w:color w:val="132B48"/>
                                <w:sz w:val="20"/>
                                <w:szCs w:val="20"/>
                              </w:rPr>
                              <w:t>.</w:t>
                            </w:r>
                          </w:p>
                          <w:p w14:paraId="7CB886F1" w14:textId="69EA2D86" w:rsidR="007E468E" w:rsidRPr="00BF249E" w:rsidRDefault="00EA0664" w:rsidP="00BF249E">
                            <w:pPr>
                              <w:pStyle w:val="ListParagraph"/>
                              <w:widowControl w:val="0"/>
                              <w:numPr>
                                <w:ilvl w:val="0"/>
                                <w:numId w:val="3"/>
                              </w:numPr>
                              <w:autoSpaceDE w:val="0"/>
                              <w:autoSpaceDN w:val="0"/>
                              <w:adjustRightInd w:val="0"/>
                              <w:rPr>
                                <w:rFonts w:cs="Times New Roman"/>
                                <w:color w:val="132B48"/>
                                <w:sz w:val="20"/>
                                <w:szCs w:val="20"/>
                              </w:rPr>
                            </w:pPr>
                            <w:r>
                              <w:rPr>
                                <w:rFonts w:cs="Times New Roman"/>
                                <w:color w:val="132B48"/>
                                <w:sz w:val="20"/>
                                <w:szCs w:val="20"/>
                              </w:rPr>
                              <w:t>Refer to the following page</w:t>
                            </w:r>
                            <w:r w:rsidR="007E468E">
                              <w:rPr>
                                <w:rFonts w:cs="Times New Roman"/>
                                <w:color w:val="132B48"/>
                                <w:sz w:val="20"/>
                                <w:szCs w:val="20"/>
                              </w:rPr>
                              <w:t xml:space="preserve"> for more details about conflict of interest (adapted from the Program Review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02E921" id="_x0000_t202" coordsize="21600,21600" o:spt="202" path="m,l,21600r21600,l21600,xe">
                <v:stroke joinstyle="miter"/>
                <v:path gradientshapeok="t" o:connecttype="rect"/>
              </v:shapetype>
              <v:shape id="Text Box 2" o:spid="_x0000_s1026" type="#_x0000_t202" style="position:absolute;left:0;text-align:left;margin-left:670.3pt;margin-top:19.55pt;width:721.5pt;height:92.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FUjAIAABUFAAAOAAAAZHJzL2Uyb0RvYy54bWysVN9r2zAQfh/sfxB6T21ncdqYOMVNyRh0&#10;baEdfVZkOTFIOk1SYndj//tOcpJ23WAw9mLfL53uvvtO88teSbIX1rWgS5qdpZQIzaFu9aakXx5X&#10;owtKnGe6ZhK0KOmzcPRy8f7dvDOFGMMWZC0swSTaFZ0p6dZ7UySJ41uhmDsDIzQ6G7CKeVTtJqkt&#10;6zC7ksk4TadJB7Y2FrhwDq3Xg5MuYv6mEdzfNY0TnsiSYm0+fm38rsM3WcxZsbHMbFt+KIP9QxWK&#10;tRovPaW6Zp6RnW1/S6VabsFB4884qASapuUi9oDdZOmbbh62zIjYC4LjzAkm9//S8tv9vSVtXdIx&#10;JZopHNGj6D25gp6MAzqdcQUGPRgM8z2accpHu0NjaLpvrAp/bIegH3F+PmEbknE0zrLphzRHF0df&#10;lp1Pp3ke8iQvx411/qMARYJQUovDi5iy/Y3zQ+gxJNzmQLb1qpUyKoEwYikt2TMc9XqTxaNypz5D&#10;Pdgu8jSNA8crI79CeCzgl0xS/y257yMCIc1LCagNJ0Vk3VAxK7B9FEPGAERkxPdlfj6uzvPZaFrl&#10;2WiSpRejqkrHo+tVlVbpZLWcTa5+HLA5nk/CHAa8g+T7dX8YzhrqZ5yNhYHbzvBVi/jdMOfvmUUy&#10;I+a4oP4OP42ErqRwkCjZgv32J3uIR46hl5IOl6Ok7uuOWUGJ/KSRfbNsMgnbFJUJtoOKfe1Zv/bo&#10;nVoCDiXDp8DwKIZ4L49iY0E94R5X4VZ0Mc3x7pL6o7j0w8riO8BFVcUg3B/D/I1+MDykDhAHdjz2&#10;T8yaA4U8wncLxzVixRsmDbFx3KbaeVi1kWYB4AFVZEdQcPciTw7vRFju13qMennNFj8BAAD//wMA&#10;UEsDBBQABgAIAAAAIQAmURox3QAAAAgBAAAPAAAAZHJzL2Rvd25yZXYueG1sTI/BTsMwEETvSPyD&#10;tUjcqNM0QjTNpgKkCsGNgujViZc4EK+j2E0CX497KsfZWc28Kbaz7cRIg28dIywXCQji2umWG4T3&#10;t93NHQgfFGvVOSaEH/KwLS8vCpVrN/ErjfvQiBjCPlcIJoQ+l9LXhqzyC9cTR+/TDVaFKIdG6kFN&#10;Mdx2Mk2SW2lVy7HBqJ4eDdXf+6NFcNnHenp6kTujx9Y/u8NXqB5+Ea+v5vsNiEBzOD/DCT+iQxmZ&#10;Kndk7UWHEIcEhNV6CeLkZtkqXiqENM0ykGUh/w8o/wAAAP//AwBQSwECLQAUAAYACAAAACEAtoM4&#10;kv4AAADhAQAAEwAAAAAAAAAAAAAAAAAAAAAAW0NvbnRlbnRfVHlwZXNdLnhtbFBLAQItABQABgAI&#10;AAAAIQA4/SH/1gAAAJQBAAALAAAAAAAAAAAAAAAAAC8BAABfcmVscy8ucmVsc1BLAQItABQABgAI&#10;AAAAIQDtYcFUjAIAABUFAAAOAAAAAAAAAAAAAAAAAC4CAABkcnMvZTJvRG9jLnhtbFBLAQItABQA&#10;BgAIAAAAIQAmURox3QAAAAgBAAAPAAAAAAAAAAAAAAAAAOYEAABkcnMvZG93bnJldi54bWxQSwUG&#10;AAAAAAQABADzAAAA8AUAAAAA&#10;" fillcolor="#d8d8d8 [2732]" strokecolor="black [3213]">
                <v:textbox style="mso-fit-shape-to-text:t">
                  <w:txbxContent>
                    <w:p w14:paraId="17B2FAE9" w14:textId="6F18ADEA" w:rsidR="00013DC2" w:rsidRPr="00BF249E" w:rsidRDefault="004A004C" w:rsidP="00BF249E">
                      <w:pPr>
                        <w:widowControl w:val="0"/>
                        <w:autoSpaceDE w:val="0"/>
                        <w:autoSpaceDN w:val="0"/>
                        <w:adjustRightInd w:val="0"/>
                        <w:ind w:left="0"/>
                        <w:rPr>
                          <w:rFonts w:cs="Times New Roman"/>
                          <w:b/>
                          <w:color w:val="132B48"/>
                          <w:sz w:val="20"/>
                          <w:szCs w:val="20"/>
                        </w:rPr>
                      </w:pPr>
                      <w:r w:rsidRPr="00BF249E">
                        <w:rPr>
                          <w:rFonts w:cs="Times New Roman"/>
                          <w:b/>
                          <w:color w:val="132B48"/>
                          <w:sz w:val="20"/>
                          <w:szCs w:val="20"/>
                        </w:rPr>
                        <w:t xml:space="preserve">* </w:t>
                      </w:r>
                      <w:r w:rsidR="00013DC2" w:rsidRPr="00BF249E">
                        <w:rPr>
                          <w:rFonts w:cs="Times New Roman"/>
                          <w:b/>
                          <w:color w:val="132B48"/>
                          <w:sz w:val="20"/>
                          <w:szCs w:val="20"/>
                        </w:rPr>
                        <w:t>Notes:</w:t>
                      </w:r>
                    </w:p>
                    <w:p w14:paraId="48508480" w14:textId="7650466E" w:rsidR="00013DC2" w:rsidRPr="00BF249E" w:rsidRDefault="00013DC2" w:rsidP="00BF249E">
                      <w:pPr>
                        <w:pStyle w:val="ListParagraph"/>
                        <w:widowControl w:val="0"/>
                        <w:numPr>
                          <w:ilvl w:val="0"/>
                          <w:numId w:val="3"/>
                        </w:numPr>
                        <w:autoSpaceDE w:val="0"/>
                        <w:autoSpaceDN w:val="0"/>
                        <w:adjustRightInd w:val="0"/>
                        <w:rPr>
                          <w:rFonts w:cs="Times New Roman"/>
                          <w:color w:val="132B48"/>
                          <w:sz w:val="20"/>
                          <w:szCs w:val="20"/>
                        </w:rPr>
                      </w:pPr>
                      <w:r w:rsidRPr="00BF249E">
                        <w:rPr>
                          <w:rFonts w:cs="Times New Roman"/>
                          <w:color w:val="132B48"/>
                          <w:sz w:val="20"/>
                          <w:szCs w:val="20"/>
                        </w:rPr>
                        <w:t>The final External Review Team (ERT) will be 3 members</w:t>
                      </w:r>
                      <w:r w:rsidR="00641EE2" w:rsidRPr="00BF249E">
                        <w:rPr>
                          <w:rFonts w:cs="Times New Roman"/>
                          <w:color w:val="132B48"/>
                          <w:sz w:val="20"/>
                          <w:szCs w:val="20"/>
                        </w:rPr>
                        <w:t xml:space="preserve"> (see Program Review Manual for details)</w:t>
                      </w:r>
                      <w:r w:rsidRPr="00BF249E">
                        <w:rPr>
                          <w:rFonts w:cs="Times New Roman"/>
                          <w:color w:val="132B48"/>
                          <w:sz w:val="20"/>
                          <w:szCs w:val="20"/>
                        </w:rPr>
                        <w:t>:</w:t>
                      </w:r>
                    </w:p>
                    <w:p w14:paraId="53F803C2" w14:textId="0ACB3D24" w:rsidR="00013DC2" w:rsidRPr="001867C3" w:rsidRDefault="00013DC2" w:rsidP="009349D4">
                      <w:pPr>
                        <w:pStyle w:val="ListParagraph"/>
                        <w:widowControl w:val="0"/>
                        <w:numPr>
                          <w:ilvl w:val="0"/>
                          <w:numId w:val="6"/>
                        </w:numPr>
                        <w:autoSpaceDE w:val="0"/>
                        <w:autoSpaceDN w:val="0"/>
                        <w:adjustRightInd w:val="0"/>
                        <w:rPr>
                          <w:rFonts w:cs="Times New Roman"/>
                          <w:color w:val="132B48"/>
                          <w:sz w:val="20"/>
                          <w:szCs w:val="20"/>
                        </w:rPr>
                      </w:pPr>
                      <w:r w:rsidRPr="00BF249E">
                        <w:rPr>
                          <w:rFonts w:cs="Times New Roman"/>
                          <w:color w:val="132B48"/>
                          <w:sz w:val="20"/>
                          <w:szCs w:val="20"/>
                        </w:rPr>
                        <w:t>External academic peer from another post-secondary institution (ideally from similar program</w:t>
                      </w:r>
                      <w:r w:rsidR="003411A3">
                        <w:rPr>
                          <w:rFonts w:cs="Times New Roman"/>
                          <w:color w:val="132B48"/>
                          <w:sz w:val="20"/>
                          <w:szCs w:val="20"/>
                        </w:rPr>
                        <w:t>s</w:t>
                      </w:r>
                      <w:r w:rsidR="003411A3" w:rsidRPr="003411A3">
                        <w:rPr>
                          <w:rFonts w:cs="Times New Roman"/>
                          <w:color w:val="132B48"/>
                          <w:sz w:val="20"/>
                          <w:szCs w:val="20"/>
                        </w:rPr>
                        <w:t xml:space="preserve"> that are represented in the benchmarking table in the SSR</w:t>
                      </w:r>
                      <w:r w:rsidRPr="001867C3">
                        <w:rPr>
                          <w:rFonts w:cs="Times New Roman"/>
                          <w:color w:val="132B48"/>
                          <w:sz w:val="20"/>
                          <w:szCs w:val="20"/>
                        </w:rPr>
                        <w:t>)</w:t>
                      </w:r>
                    </w:p>
                    <w:p w14:paraId="6CB4FA79" w14:textId="5CA47ADD" w:rsidR="00013DC2" w:rsidRPr="00BF249E" w:rsidRDefault="00013DC2" w:rsidP="00BF249E">
                      <w:pPr>
                        <w:pStyle w:val="ListParagraph"/>
                        <w:widowControl w:val="0"/>
                        <w:numPr>
                          <w:ilvl w:val="0"/>
                          <w:numId w:val="6"/>
                        </w:numPr>
                        <w:autoSpaceDE w:val="0"/>
                        <w:autoSpaceDN w:val="0"/>
                        <w:adjustRightInd w:val="0"/>
                        <w:rPr>
                          <w:rFonts w:cs="Times New Roman"/>
                          <w:color w:val="132B48"/>
                          <w:sz w:val="20"/>
                          <w:szCs w:val="20"/>
                        </w:rPr>
                      </w:pPr>
                      <w:r w:rsidRPr="00BF249E">
                        <w:rPr>
                          <w:rFonts w:cs="Times New Roman"/>
                          <w:color w:val="132B48"/>
                          <w:sz w:val="20"/>
                          <w:szCs w:val="20"/>
                        </w:rPr>
                        <w:t>External academic</w:t>
                      </w:r>
                      <w:r w:rsidR="00641EE2" w:rsidRPr="00BF249E">
                        <w:rPr>
                          <w:rFonts w:cs="Times New Roman"/>
                          <w:color w:val="132B48"/>
                          <w:sz w:val="20"/>
                          <w:szCs w:val="20"/>
                        </w:rPr>
                        <w:t xml:space="preserve"> peer</w:t>
                      </w:r>
                      <w:r w:rsidRPr="00BF249E">
                        <w:rPr>
                          <w:rFonts w:cs="Times New Roman"/>
                          <w:color w:val="132B48"/>
                          <w:sz w:val="20"/>
                          <w:szCs w:val="20"/>
                        </w:rPr>
                        <w:t xml:space="preserve"> OR member from industry</w:t>
                      </w:r>
                      <w:r w:rsidR="009349D4">
                        <w:rPr>
                          <w:rFonts w:cs="Times New Roman"/>
                          <w:color w:val="132B48"/>
                          <w:sz w:val="20"/>
                          <w:szCs w:val="20"/>
                        </w:rPr>
                        <w:t xml:space="preserve"> (e.g. an employer of graduates of the program who is not a PAC member)</w:t>
                      </w:r>
                    </w:p>
                    <w:p w14:paraId="1A8F1BFF" w14:textId="0D4889DC" w:rsidR="004A004C" w:rsidRPr="00BF249E" w:rsidRDefault="00013DC2" w:rsidP="00BF249E">
                      <w:pPr>
                        <w:pStyle w:val="ListParagraph"/>
                        <w:widowControl w:val="0"/>
                        <w:numPr>
                          <w:ilvl w:val="0"/>
                          <w:numId w:val="6"/>
                        </w:numPr>
                        <w:autoSpaceDE w:val="0"/>
                        <w:autoSpaceDN w:val="0"/>
                        <w:adjustRightInd w:val="0"/>
                        <w:rPr>
                          <w:rFonts w:cs="Times New Roman"/>
                          <w:color w:val="132B48"/>
                          <w:sz w:val="20"/>
                          <w:szCs w:val="20"/>
                        </w:rPr>
                      </w:pPr>
                      <w:r w:rsidRPr="00BF249E">
                        <w:rPr>
                          <w:rFonts w:cs="Times New Roman"/>
                          <w:color w:val="132B48"/>
                          <w:sz w:val="20"/>
                          <w:szCs w:val="20"/>
                        </w:rPr>
                        <w:t>Internal academic (internal to BCIT, outside your school and from a program currently not under review)</w:t>
                      </w:r>
                    </w:p>
                    <w:p w14:paraId="62E39C54" w14:textId="7CDE7196" w:rsidR="00013DC2" w:rsidRDefault="00013DC2" w:rsidP="00BF249E">
                      <w:pPr>
                        <w:pStyle w:val="ListParagraph"/>
                        <w:widowControl w:val="0"/>
                        <w:numPr>
                          <w:ilvl w:val="0"/>
                          <w:numId w:val="3"/>
                        </w:numPr>
                        <w:autoSpaceDE w:val="0"/>
                        <w:autoSpaceDN w:val="0"/>
                        <w:adjustRightInd w:val="0"/>
                        <w:rPr>
                          <w:rFonts w:cs="Times New Roman"/>
                          <w:color w:val="132B48"/>
                          <w:sz w:val="20"/>
                          <w:szCs w:val="20"/>
                        </w:rPr>
                      </w:pPr>
                      <w:r w:rsidRPr="00BF249E">
                        <w:rPr>
                          <w:rFonts w:cs="Times New Roman"/>
                          <w:color w:val="132B48"/>
                          <w:sz w:val="20"/>
                          <w:szCs w:val="20"/>
                        </w:rPr>
                        <w:t xml:space="preserve">Programs should put forward </w:t>
                      </w:r>
                      <w:r w:rsidR="00471BA5">
                        <w:rPr>
                          <w:rFonts w:cs="Times New Roman"/>
                          <w:color w:val="132B48"/>
                          <w:sz w:val="20"/>
                          <w:szCs w:val="20"/>
                        </w:rPr>
                        <w:t>4 - 6 external</w:t>
                      </w:r>
                      <w:r w:rsidRPr="00BF249E">
                        <w:rPr>
                          <w:rFonts w:cs="Times New Roman"/>
                          <w:color w:val="132B48"/>
                          <w:sz w:val="20"/>
                          <w:szCs w:val="20"/>
                        </w:rPr>
                        <w:t xml:space="preserve"> candidates</w:t>
                      </w:r>
                      <w:r w:rsidR="00471BA5">
                        <w:rPr>
                          <w:rFonts w:cs="Times New Roman"/>
                          <w:color w:val="132B48"/>
                          <w:sz w:val="20"/>
                          <w:szCs w:val="20"/>
                        </w:rPr>
                        <w:t xml:space="preserve"> and 2 – 3 internal candidates respectively</w:t>
                      </w:r>
                      <w:r w:rsidRPr="00BF249E">
                        <w:rPr>
                          <w:rFonts w:cs="Times New Roman"/>
                          <w:color w:val="132B48"/>
                          <w:sz w:val="20"/>
                          <w:szCs w:val="20"/>
                        </w:rPr>
                        <w:t xml:space="preserve">, making sure there are representatives for all 3 categories outlined above.  Final ERT members will be selected from the list of candidates by the </w:t>
                      </w:r>
                      <w:r w:rsidR="006D6918" w:rsidRPr="00BF249E">
                        <w:rPr>
                          <w:rFonts w:cs="Times New Roman"/>
                          <w:color w:val="132B48"/>
                          <w:sz w:val="20"/>
                          <w:szCs w:val="20"/>
                        </w:rPr>
                        <w:t xml:space="preserve">School </w:t>
                      </w:r>
                      <w:r w:rsidRPr="00BF249E">
                        <w:rPr>
                          <w:rFonts w:cs="Times New Roman"/>
                          <w:color w:val="132B48"/>
                          <w:sz w:val="20"/>
                          <w:szCs w:val="20"/>
                        </w:rPr>
                        <w:t xml:space="preserve">Dean and the </w:t>
                      </w:r>
                      <w:r w:rsidR="006D6918" w:rsidRPr="00BF249E">
                        <w:rPr>
                          <w:rFonts w:cs="Times New Roman"/>
                          <w:color w:val="132B48"/>
                          <w:sz w:val="20"/>
                          <w:szCs w:val="20"/>
                        </w:rPr>
                        <w:t>Dean, Academic Planning &amp; Quality Assurance</w:t>
                      </w:r>
                      <w:r w:rsidRPr="00BF249E">
                        <w:rPr>
                          <w:rFonts w:cs="Times New Roman"/>
                          <w:color w:val="132B48"/>
                          <w:sz w:val="20"/>
                          <w:szCs w:val="20"/>
                        </w:rPr>
                        <w:t>.</w:t>
                      </w:r>
                    </w:p>
                    <w:p w14:paraId="7CB886F1" w14:textId="69EA2D86" w:rsidR="007E468E" w:rsidRPr="00BF249E" w:rsidRDefault="00EA0664" w:rsidP="00BF249E">
                      <w:pPr>
                        <w:pStyle w:val="ListParagraph"/>
                        <w:widowControl w:val="0"/>
                        <w:numPr>
                          <w:ilvl w:val="0"/>
                          <w:numId w:val="3"/>
                        </w:numPr>
                        <w:autoSpaceDE w:val="0"/>
                        <w:autoSpaceDN w:val="0"/>
                        <w:adjustRightInd w:val="0"/>
                        <w:rPr>
                          <w:rFonts w:cs="Times New Roman"/>
                          <w:color w:val="132B48"/>
                          <w:sz w:val="20"/>
                          <w:szCs w:val="20"/>
                        </w:rPr>
                      </w:pPr>
                      <w:r>
                        <w:rPr>
                          <w:rFonts w:cs="Times New Roman"/>
                          <w:color w:val="132B48"/>
                          <w:sz w:val="20"/>
                          <w:szCs w:val="20"/>
                        </w:rPr>
                        <w:t>Refer to the following page</w:t>
                      </w:r>
                      <w:r w:rsidR="007E468E">
                        <w:rPr>
                          <w:rFonts w:cs="Times New Roman"/>
                          <w:color w:val="132B48"/>
                          <w:sz w:val="20"/>
                          <w:szCs w:val="20"/>
                        </w:rPr>
                        <w:t xml:space="preserve"> for more details about conflict of interest (adapted from the Program Review Manual)</w:t>
                      </w:r>
                    </w:p>
                  </w:txbxContent>
                </v:textbox>
                <w10:wrap type="square" anchorx="margin"/>
              </v:shape>
            </w:pict>
          </mc:Fallback>
        </mc:AlternateContent>
      </w:r>
    </w:p>
    <w:p w14:paraId="346B0EB9" w14:textId="0CBF8EDD" w:rsidR="003E37E9" w:rsidRDefault="003E37E9" w:rsidP="001A7F3F">
      <w:pPr>
        <w:widowControl w:val="0"/>
        <w:tabs>
          <w:tab w:val="left" w:pos="220"/>
          <w:tab w:val="left" w:pos="720"/>
        </w:tabs>
        <w:autoSpaceDE w:val="0"/>
        <w:autoSpaceDN w:val="0"/>
        <w:adjustRightInd w:val="0"/>
        <w:rPr>
          <w:rFonts w:cs="Times New Roman"/>
          <w:color w:val="132B48"/>
          <w:szCs w:val="22"/>
        </w:rPr>
      </w:pPr>
    </w:p>
    <w:p w14:paraId="2BD879E5" w14:textId="5B2237A1" w:rsidR="00EA0664" w:rsidRDefault="00EA0664" w:rsidP="001A7F3F">
      <w:pPr>
        <w:widowControl w:val="0"/>
        <w:tabs>
          <w:tab w:val="left" w:pos="220"/>
          <w:tab w:val="left" w:pos="720"/>
        </w:tabs>
        <w:autoSpaceDE w:val="0"/>
        <w:autoSpaceDN w:val="0"/>
        <w:adjustRightInd w:val="0"/>
        <w:rPr>
          <w:rFonts w:cs="Times New Roman"/>
          <w:color w:val="132B48"/>
          <w:szCs w:val="22"/>
        </w:rPr>
      </w:pPr>
    </w:p>
    <w:p w14:paraId="2143A84B" w14:textId="1E054745" w:rsidR="00EA0664" w:rsidRPr="001867C3" w:rsidRDefault="00EA0664" w:rsidP="00EA0664">
      <w:pPr>
        <w:widowControl w:val="0"/>
        <w:tabs>
          <w:tab w:val="left" w:pos="220"/>
          <w:tab w:val="left" w:pos="720"/>
        </w:tabs>
        <w:autoSpaceDE w:val="0"/>
        <w:autoSpaceDN w:val="0"/>
        <w:adjustRightInd w:val="0"/>
        <w:rPr>
          <w:rFonts w:cs="Times New Roman"/>
          <w:b/>
          <w:bCs/>
          <w:color w:val="132B48"/>
          <w:szCs w:val="22"/>
          <w:lang w:val="en-CA"/>
        </w:rPr>
      </w:pPr>
      <w:bookmarkStart w:id="1" w:name="_Toc19279785"/>
      <w:bookmarkStart w:id="2" w:name="_Toc19776814"/>
      <w:r w:rsidRPr="00EA0664">
        <w:rPr>
          <w:rFonts w:cs="Times New Roman"/>
          <w:b/>
          <w:bCs/>
          <w:color w:val="132B48"/>
          <w:szCs w:val="22"/>
          <w:lang w:val="en-CA"/>
        </w:rPr>
        <w:lastRenderedPageBreak/>
        <w:t>ERT Conflict of Interest and Confidentiality Guidelines</w:t>
      </w:r>
      <w:bookmarkEnd w:id="1"/>
      <w:bookmarkEnd w:id="2"/>
      <w:r>
        <w:rPr>
          <w:rFonts w:cs="Times New Roman"/>
          <w:b/>
          <w:bCs/>
          <w:color w:val="132B48"/>
          <w:szCs w:val="22"/>
          <w:lang w:val="en-CA"/>
        </w:rPr>
        <w:t xml:space="preserve"> </w:t>
      </w:r>
      <w:r w:rsidR="00136A2B" w:rsidRPr="00EA0664">
        <w:rPr>
          <w:rFonts w:cs="Times New Roman"/>
          <w:b/>
          <w:color w:val="132B48"/>
          <w:szCs w:val="22"/>
          <w:lang w:val="en-CA"/>
        </w:rPr>
        <w:t>for</w:t>
      </w:r>
      <w:r w:rsidRPr="00EA0664">
        <w:rPr>
          <w:rFonts w:cs="Times New Roman"/>
          <w:b/>
          <w:color w:val="132B48"/>
          <w:szCs w:val="22"/>
          <w:lang w:val="en-CA"/>
        </w:rPr>
        <w:t xml:space="preserve"> External Reviewers Participating in Program Reviews</w:t>
      </w:r>
    </w:p>
    <w:p w14:paraId="257ED78C" w14:textId="1E2FA6FA" w:rsidR="00EA0664" w:rsidRPr="00EA0664" w:rsidRDefault="004E42B9" w:rsidP="00EA0664">
      <w:pPr>
        <w:widowControl w:val="0"/>
        <w:tabs>
          <w:tab w:val="left" w:pos="220"/>
          <w:tab w:val="left" w:pos="720"/>
        </w:tabs>
        <w:autoSpaceDE w:val="0"/>
        <w:autoSpaceDN w:val="0"/>
        <w:adjustRightInd w:val="0"/>
        <w:rPr>
          <w:rFonts w:cs="Times New Roman"/>
          <w:b/>
          <w:bCs/>
          <w:color w:val="132B48"/>
          <w:szCs w:val="22"/>
          <w:lang w:val="en-CA"/>
        </w:rPr>
      </w:pPr>
      <w:bookmarkStart w:id="3" w:name="_Toc330462846"/>
      <w:bookmarkStart w:id="4" w:name="_Toc330463083"/>
      <w:bookmarkStart w:id="5" w:name="_Toc334541736"/>
      <w:bookmarkStart w:id="6" w:name="_Toc213383648"/>
      <w:bookmarkStart w:id="7" w:name="_Toc238720889"/>
      <w:bookmarkStart w:id="8" w:name="_Toc485309990"/>
      <w:bookmarkStart w:id="9" w:name="_Toc485310892"/>
      <w:r>
        <w:rPr>
          <w:rFonts w:cs="Times New Roman"/>
          <w:b/>
          <w:bCs/>
          <w:color w:val="132B48"/>
          <w:szCs w:val="22"/>
          <w:lang w:val="en-CA"/>
        </w:rPr>
        <w:t>(Appendix L,</w:t>
      </w:r>
      <w:r w:rsidR="00EA0664">
        <w:rPr>
          <w:rFonts w:cs="Times New Roman"/>
          <w:b/>
          <w:bCs/>
          <w:color w:val="132B48"/>
          <w:szCs w:val="22"/>
          <w:lang w:val="en-CA"/>
        </w:rPr>
        <w:t xml:space="preserve"> Program Review Manual)</w:t>
      </w:r>
    </w:p>
    <w:p w14:paraId="4BA73917" w14:textId="100B1F09" w:rsidR="00EA0664" w:rsidRDefault="00EA0664" w:rsidP="001867C3">
      <w:pPr>
        <w:widowControl w:val="0"/>
        <w:tabs>
          <w:tab w:val="left" w:pos="220"/>
          <w:tab w:val="left" w:pos="720"/>
        </w:tabs>
        <w:autoSpaceDE w:val="0"/>
        <w:autoSpaceDN w:val="0"/>
        <w:adjustRightInd w:val="0"/>
        <w:ind w:left="0"/>
        <w:rPr>
          <w:rFonts w:cs="Times New Roman"/>
          <w:b/>
          <w:color w:val="132B48"/>
          <w:szCs w:val="22"/>
          <w:lang w:val="en-CA"/>
        </w:rPr>
      </w:pPr>
    </w:p>
    <w:p w14:paraId="3B9C04C9" w14:textId="772B1A92" w:rsidR="00EA0664" w:rsidRPr="00EA0664" w:rsidRDefault="00EA0664" w:rsidP="00EA0664">
      <w:pPr>
        <w:widowControl w:val="0"/>
        <w:tabs>
          <w:tab w:val="left" w:pos="220"/>
          <w:tab w:val="left" w:pos="720"/>
        </w:tabs>
        <w:autoSpaceDE w:val="0"/>
        <w:autoSpaceDN w:val="0"/>
        <w:adjustRightInd w:val="0"/>
        <w:rPr>
          <w:rFonts w:cs="Times New Roman"/>
          <w:color w:val="132B48"/>
          <w:szCs w:val="22"/>
          <w:lang w:val="en-CA"/>
        </w:rPr>
      </w:pPr>
      <w:r w:rsidRPr="00EA0664">
        <w:rPr>
          <w:rFonts w:cs="Times New Roman"/>
          <w:b/>
          <w:color w:val="132B48"/>
          <w:szCs w:val="22"/>
          <w:lang w:val="en-CA"/>
        </w:rPr>
        <w:t>Purpose</w:t>
      </w:r>
      <w:bookmarkEnd w:id="3"/>
      <w:bookmarkEnd w:id="4"/>
      <w:bookmarkEnd w:id="5"/>
      <w:bookmarkEnd w:id="6"/>
      <w:bookmarkEnd w:id="7"/>
      <w:bookmarkEnd w:id="8"/>
      <w:bookmarkEnd w:id="9"/>
    </w:p>
    <w:p w14:paraId="6B706E0E" w14:textId="77777777" w:rsidR="00EA0664" w:rsidRPr="00EA0664" w:rsidRDefault="00EA0664" w:rsidP="00EA0664">
      <w:pPr>
        <w:widowControl w:val="0"/>
        <w:tabs>
          <w:tab w:val="left" w:pos="220"/>
          <w:tab w:val="left" w:pos="720"/>
        </w:tabs>
        <w:autoSpaceDE w:val="0"/>
        <w:autoSpaceDN w:val="0"/>
        <w:adjustRightInd w:val="0"/>
        <w:rPr>
          <w:rFonts w:cs="Times New Roman"/>
          <w:i/>
          <w:iCs/>
          <w:color w:val="132B48"/>
          <w:szCs w:val="22"/>
          <w:lang w:val="en-CA"/>
        </w:rPr>
      </w:pPr>
      <w:r w:rsidRPr="00EA0664">
        <w:rPr>
          <w:rFonts w:cs="Times New Roman"/>
          <w:color w:val="132B48"/>
          <w:szCs w:val="22"/>
          <w:lang w:val="en-CA"/>
        </w:rPr>
        <w:t xml:space="preserve">These guidelines are to assist program areas in their nomination of external review team candidates and to assist the external reviewers themselves. These guidelines reflect the requirements as outlined by the DQAB </w:t>
      </w:r>
      <w:r w:rsidRPr="00EA0664">
        <w:rPr>
          <w:rFonts w:cs="Times New Roman"/>
          <w:i/>
          <w:iCs/>
          <w:color w:val="132B48"/>
          <w:szCs w:val="22"/>
          <w:lang w:val="en-CA"/>
        </w:rPr>
        <w:t xml:space="preserve"> (</w:t>
      </w:r>
      <w:hyperlink r:id="rId8" w:history="1">
        <w:r w:rsidRPr="00EA0664">
          <w:rPr>
            <w:rStyle w:val="Hyperlink"/>
            <w:rFonts w:cs="Times New Roman"/>
            <w:i/>
            <w:iCs/>
            <w:szCs w:val="22"/>
            <w:lang w:val="en-CA"/>
          </w:rPr>
          <w:t>http://www2.gov.bc.ca/gov/content/education-training/post-secondary-education/institution-resources-administration/degree-authorization/degree-quality-assessment-board/conflict-of-interest-and-confidentiality-policy</w:t>
        </w:r>
      </w:hyperlink>
      <w:r w:rsidRPr="00EA0664">
        <w:rPr>
          <w:rFonts w:cs="Times New Roman"/>
          <w:i/>
          <w:iCs/>
          <w:color w:val="132B48"/>
          <w:szCs w:val="22"/>
          <w:lang w:val="en-CA"/>
        </w:rPr>
        <w:t xml:space="preserve">) </w:t>
      </w:r>
    </w:p>
    <w:p w14:paraId="533B0386" w14:textId="77777777" w:rsidR="00EA0664" w:rsidRPr="00EA0664" w:rsidRDefault="00EA0664" w:rsidP="00EA0664">
      <w:pPr>
        <w:widowControl w:val="0"/>
        <w:tabs>
          <w:tab w:val="left" w:pos="220"/>
          <w:tab w:val="left" w:pos="720"/>
        </w:tabs>
        <w:autoSpaceDE w:val="0"/>
        <w:autoSpaceDN w:val="0"/>
        <w:adjustRightInd w:val="0"/>
        <w:rPr>
          <w:rFonts w:cs="Times New Roman"/>
          <w:i/>
          <w:iCs/>
          <w:color w:val="132B48"/>
          <w:szCs w:val="22"/>
          <w:lang w:val="en-CA"/>
        </w:rPr>
      </w:pPr>
    </w:p>
    <w:p w14:paraId="1A031003" w14:textId="77777777" w:rsidR="00EA0664" w:rsidRPr="00EA0664" w:rsidRDefault="00EA0664" w:rsidP="00EA0664">
      <w:pPr>
        <w:widowControl w:val="0"/>
        <w:tabs>
          <w:tab w:val="left" w:pos="220"/>
          <w:tab w:val="left" w:pos="720"/>
        </w:tabs>
        <w:autoSpaceDE w:val="0"/>
        <w:autoSpaceDN w:val="0"/>
        <w:adjustRightInd w:val="0"/>
        <w:rPr>
          <w:rFonts w:cs="Times New Roman"/>
          <w:i/>
          <w:iCs/>
          <w:color w:val="132B48"/>
          <w:szCs w:val="22"/>
          <w:lang w:val="en-CA"/>
        </w:rPr>
      </w:pPr>
      <w:r w:rsidRPr="00EA0664">
        <w:rPr>
          <w:rFonts w:cs="Times New Roman"/>
          <w:i/>
          <w:iCs/>
          <w:color w:val="132B48"/>
          <w:szCs w:val="22"/>
          <w:lang w:val="en-CA"/>
        </w:rPr>
        <w:t>External reviewers must avoid any actual or perceived conflict of interest including that which might impair or impugn the independence, integrity or impartiality of the review. There must be no appearance of bias, based on what a reasonable person might perceive.</w:t>
      </w:r>
    </w:p>
    <w:p w14:paraId="0289FEE3" w14:textId="77777777" w:rsidR="00EA0664" w:rsidRPr="00EA0664" w:rsidRDefault="00EA0664" w:rsidP="00EA0664">
      <w:pPr>
        <w:widowControl w:val="0"/>
        <w:tabs>
          <w:tab w:val="left" w:pos="220"/>
          <w:tab w:val="left" w:pos="720"/>
        </w:tabs>
        <w:autoSpaceDE w:val="0"/>
        <w:autoSpaceDN w:val="0"/>
        <w:adjustRightInd w:val="0"/>
        <w:rPr>
          <w:rFonts w:cs="Times New Roman"/>
          <w:i/>
          <w:iCs/>
          <w:color w:val="132B48"/>
          <w:szCs w:val="22"/>
          <w:lang w:val="en-CA"/>
        </w:rPr>
      </w:pPr>
    </w:p>
    <w:p w14:paraId="0303FBFF" w14:textId="77777777" w:rsidR="00EA0664" w:rsidRPr="00EA0664" w:rsidRDefault="00EA0664" w:rsidP="00EA0664">
      <w:pPr>
        <w:widowControl w:val="0"/>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When identifying candidates to serve on the external review team, select those experts who are recognized by their peers for having a broad outlook, open mind, and sound judgment. Candidates should possess the qualifications to engender the confidence of all those involved in the development, results, and actions resulting from the program review.</w:t>
      </w:r>
    </w:p>
    <w:p w14:paraId="4AE71B96" w14:textId="77777777" w:rsidR="00EA0664" w:rsidRPr="00EA0664" w:rsidRDefault="00EA0664" w:rsidP="00EA0664">
      <w:pPr>
        <w:widowControl w:val="0"/>
        <w:tabs>
          <w:tab w:val="left" w:pos="220"/>
          <w:tab w:val="left" w:pos="720"/>
        </w:tabs>
        <w:autoSpaceDE w:val="0"/>
        <w:autoSpaceDN w:val="0"/>
        <w:adjustRightInd w:val="0"/>
        <w:rPr>
          <w:rFonts w:cs="Times New Roman"/>
          <w:b/>
          <w:bCs/>
          <w:color w:val="132B48"/>
          <w:szCs w:val="22"/>
          <w:lang w:val="en-CA"/>
        </w:rPr>
      </w:pPr>
    </w:p>
    <w:p w14:paraId="1F1A31F1" w14:textId="77777777" w:rsidR="00EA0664" w:rsidRPr="00EA0664" w:rsidRDefault="00EA0664" w:rsidP="00EA0664">
      <w:pPr>
        <w:widowControl w:val="0"/>
        <w:tabs>
          <w:tab w:val="left" w:pos="220"/>
          <w:tab w:val="left" w:pos="720"/>
        </w:tabs>
        <w:autoSpaceDE w:val="0"/>
        <w:autoSpaceDN w:val="0"/>
        <w:adjustRightInd w:val="0"/>
        <w:rPr>
          <w:rFonts w:cs="Times New Roman"/>
          <w:color w:val="132B48"/>
          <w:szCs w:val="22"/>
          <w:lang w:val="en-CA"/>
        </w:rPr>
      </w:pPr>
      <w:bookmarkStart w:id="10" w:name="_Toc330462847"/>
      <w:bookmarkStart w:id="11" w:name="_Toc330463084"/>
      <w:bookmarkStart w:id="12" w:name="_Toc334541737"/>
      <w:bookmarkStart w:id="13" w:name="_Toc213383649"/>
      <w:bookmarkStart w:id="14" w:name="_Toc238720890"/>
      <w:bookmarkStart w:id="15" w:name="_Toc485309991"/>
      <w:bookmarkStart w:id="16" w:name="_Toc485310893"/>
      <w:r w:rsidRPr="00EA0664">
        <w:rPr>
          <w:rFonts w:cs="Times New Roman"/>
          <w:b/>
          <w:color w:val="132B48"/>
          <w:szCs w:val="22"/>
          <w:lang w:val="en-CA"/>
        </w:rPr>
        <w:t>Definition of a Conflict</w:t>
      </w:r>
      <w:bookmarkEnd w:id="10"/>
      <w:bookmarkEnd w:id="11"/>
      <w:bookmarkEnd w:id="12"/>
      <w:bookmarkEnd w:id="13"/>
      <w:bookmarkEnd w:id="14"/>
      <w:bookmarkEnd w:id="15"/>
      <w:bookmarkEnd w:id="16"/>
    </w:p>
    <w:p w14:paraId="4AFA9E53" w14:textId="77777777" w:rsidR="00EA0664" w:rsidRPr="00EA0664" w:rsidRDefault="00EA0664" w:rsidP="00EA0664">
      <w:pPr>
        <w:widowControl w:val="0"/>
        <w:tabs>
          <w:tab w:val="left" w:pos="220"/>
          <w:tab w:val="left" w:pos="720"/>
        </w:tabs>
        <w:autoSpaceDE w:val="0"/>
        <w:autoSpaceDN w:val="0"/>
        <w:adjustRightInd w:val="0"/>
        <w:rPr>
          <w:rFonts w:cs="Times New Roman"/>
          <w:bCs/>
          <w:color w:val="132B48"/>
          <w:szCs w:val="22"/>
          <w:lang w:val="en-CA"/>
        </w:rPr>
      </w:pPr>
      <w:r w:rsidRPr="00EA0664">
        <w:rPr>
          <w:rFonts w:cs="Times New Roman"/>
          <w:bCs/>
          <w:color w:val="132B48"/>
          <w:szCs w:val="22"/>
          <w:lang w:val="en-CA"/>
        </w:rPr>
        <w:t>(Adapted from DQAB Conflict of Interest and Confidentiality Policy)</w:t>
      </w:r>
    </w:p>
    <w:p w14:paraId="0B98C3B3" w14:textId="77777777" w:rsidR="00EA0664" w:rsidRPr="00EA0664" w:rsidRDefault="00EA0664" w:rsidP="00EA0664">
      <w:pPr>
        <w:widowControl w:val="0"/>
        <w:tabs>
          <w:tab w:val="left" w:pos="220"/>
          <w:tab w:val="left" w:pos="720"/>
        </w:tabs>
        <w:autoSpaceDE w:val="0"/>
        <w:autoSpaceDN w:val="0"/>
        <w:adjustRightInd w:val="0"/>
        <w:rPr>
          <w:rFonts w:cs="Times New Roman"/>
          <w:b/>
          <w:bCs/>
          <w:color w:val="132B48"/>
          <w:szCs w:val="22"/>
          <w:lang w:val="en-CA"/>
        </w:rPr>
      </w:pPr>
    </w:p>
    <w:p w14:paraId="7E9872EE" w14:textId="77777777" w:rsidR="00EA0664" w:rsidRPr="00EA0664" w:rsidRDefault="00EA0664" w:rsidP="00EA0664">
      <w:pPr>
        <w:widowControl w:val="0"/>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An actual or potential conflict of interest arises when an expert is placed in a situation in which a) his or her personal interests, financial or otherwise, or b) the interests of an immediate family member or of a person with whom there exists, or has recently existed, an intimate relationship, conflict or appearance of conflict with the expert's responsibilities to the program under review, BCIT, and/or the public interest.</w:t>
      </w:r>
    </w:p>
    <w:p w14:paraId="397E0A8C" w14:textId="77777777" w:rsidR="00EA0664" w:rsidRPr="00EA0664" w:rsidRDefault="00EA0664" w:rsidP="00EA0664">
      <w:pPr>
        <w:widowControl w:val="0"/>
        <w:tabs>
          <w:tab w:val="left" w:pos="220"/>
          <w:tab w:val="left" w:pos="720"/>
        </w:tabs>
        <w:autoSpaceDE w:val="0"/>
        <w:autoSpaceDN w:val="0"/>
        <w:adjustRightInd w:val="0"/>
        <w:rPr>
          <w:rFonts w:cs="Times New Roman"/>
          <w:color w:val="132B48"/>
          <w:szCs w:val="22"/>
          <w:lang w:val="en-CA"/>
        </w:rPr>
      </w:pPr>
    </w:p>
    <w:p w14:paraId="336780E4" w14:textId="77777777" w:rsidR="00EA0664" w:rsidRPr="00EA0664" w:rsidRDefault="00EA0664" w:rsidP="00EA0664">
      <w:pPr>
        <w:widowControl w:val="0"/>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External experts appointed by the school dean and Dean, APQA should not have had any actual, perceived, or potential conflict of interest to the program under review within the previous two years, have any such connection or for a period of up to three months following the completion of their duties related to the program review. Some examples of such connections include:</w:t>
      </w:r>
    </w:p>
    <w:p w14:paraId="24C8711D" w14:textId="77777777" w:rsidR="00EA0664" w:rsidRPr="00EA0664" w:rsidRDefault="00EA0664" w:rsidP="00EA0664">
      <w:pPr>
        <w:widowControl w:val="0"/>
        <w:tabs>
          <w:tab w:val="left" w:pos="220"/>
          <w:tab w:val="left" w:pos="720"/>
        </w:tabs>
        <w:autoSpaceDE w:val="0"/>
        <w:autoSpaceDN w:val="0"/>
        <w:adjustRightInd w:val="0"/>
        <w:rPr>
          <w:rFonts w:cs="Times New Roman"/>
          <w:color w:val="132B48"/>
          <w:szCs w:val="22"/>
          <w:lang w:val="en-CA"/>
        </w:rPr>
      </w:pPr>
    </w:p>
    <w:p w14:paraId="38A8278C" w14:textId="77777777" w:rsidR="00EA0664" w:rsidRPr="00EA0664" w:rsidRDefault="00EA0664" w:rsidP="00EA0664">
      <w:pPr>
        <w:widowControl w:val="0"/>
        <w:numPr>
          <w:ilvl w:val="0"/>
          <w:numId w:val="9"/>
        </w:numPr>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Preparing an application or providing expert advice used in developing the program,</w:t>
      </w:r>
    </w:p>
    <w:p w14:paraId="260200AD" w14:textId="77777777" w:rsidR="00EA0664" w:rsidRPr="00EA0664" w:rsidRDefault="00EA0664" w:rsidP="00EA0664">
      <w:pPr>
        <w:widowControl w:val="0"/>
        <w:numPr>
          <w:ilvl w:val="0"/>
          <w:numId w:val="9"/>
        </w:numPr>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Making public comment for or against a program or institution that might result in the apprehension of bias,</w:t>
      </w:r>
    </w:p>
    <w:p w14:paraId="35E0A605" w14:textId="77777777" w:rsidR="00EA0664" w:rsidRPr="00EA0664" w:rsidRDefault="00EA0664" w:rsidP="00EA0664">
      <w:pPr>
        <w:widowControl w:val="0"/>
        <w:numPr>
          <w:ilvl w:val="0"/>
          <w:numId w:val="9"/>
        </w:numPr>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Working for or previously employed in the program,</w:t>
      </w:r>
    </w:p>
    <w:p w14:paraId="064DD800" w14:textId="77777777" w:rsidR="00EA0664" w:rsidRPr="00EA0664" w:rsidRDefault="00EA0664" w:rsidP="00EA0664">
      <w:pPr>
        <w:widowControl w:val="0"/>
        <w:numPr>
          <w:ilvl w:val="0"/>
          <w:numId w:val="9"/>
        </w:numPr>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Being a learner or a recent graduate of the program, or</w:t>
      </w:r>
    </w:p>
    <w:p w14:paraId="736424BB" w14:textId="77777777" w:rsidR="00EA0664" w:rsidRPr="00EA0664" w:rsidRDefault="00EA0664" w:rsidP="00EA0664">
      <w:pPr>
        <w:widowControl w:val="0"/>
        <w:numPr>
          <w:ilvl w:val="0"/>
          <w:numId w:val="9"/>
        </w:numPr>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Working as a consultant for the program</w:t>
      </w:r>
    </w:p>
    <w:p w14:paraId="63E204A1" w14:textId="77777777" w:rsidR="00EA0664" w:rsidRPr="00EA0664" w:rsidRDefault="00EA0664" w:rsidP="00EA0664">
      <w:pPr>
        <w:widowControl w:val="0"/>
        <w:numPr>
          <w:ilvl w:val="0"/>
          <w:numId w:val="9"/>
        </w:numPr>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Serving in an advisory capacity or on a board for the program</w:t>
      </w:r>
    </w:p>
    <w:p w14:paraId="70D88780" w14:textId="77777777" w:rsidR="00EA0664" w:rsidRPr="00EA0664" w:rsidRDefault="00EA0664" w:rsidP="00EA0664">
      <w:pPr>
        <w:widowControl w:val="0"/>
        <w:numPr>
          <w:ilvl w:val="0"/>
          <w:numId w:val="9"/>
        </w:numPr>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Having financial or other business interests with the program</w:t>
      </w:r>
    </w:p>
    <w:p w14:paraId="3DD332BC" w14:textId="77777777" w:rsidR="00EA0664" w:rsidRPr="00EA0664" w:rsidRDefault="00EA0664" w:rsidP="00EA0664">
      <w:pPr>
        <w:widowControl w:val="0"/>
        <w:numPr>
          <w:ilvl w:val="0"/>
          <w:numId w:val="9"/>
        </w:numPr>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Supervising learners or employees of the program</w:t>
      </w:r>
    </w:p>
    <w:p w14:paraId="6A4E2C3D" w14:textId="77777777" w:rsidR="00EA0664" w:rsidRPr="00EA0664" w:rsidRDefault="00EA0664" w:rsidP="00EA0664">
      <w:pPr>
        <w:widowControl w:val="0"/>
        <w:numPr>
          <w:ilvl w:val="0"/>
          <w:numId w:val="9"/>
        </w:numPr>
        <w:tabs>
          <w:tab w:val="left" w:pos="220"/>
          <w:tab w:val="left" w:pos="720"/>
        </w:tabs>
        <w:autoSpaceDE w:val="0"/>
        <w:autoSpaceDN w:val="0"/>
        <w:adjustRightInd w:val="0"/>
        <w:rPr>
          <w:rFonts w:cs="Times New Roman"/>
          <w:color w:val="132B48"/>
          <w:szCs w:val="22"/>
          <w:lang w:val="en-CA"/>
        </w:rPr>
      </w:pPr>
      <w:r w:rsidRPr="00EA0664">
        <w:rPr>
          <w:rFonts w:cs="Times New Roman"/>
          <w:color w:val="132B48"/>
          <w:szCs w:val="22"/>
          <w:lang w:val="en-CA"/>
        </w:rPr>
        <w:t>Collaborating regularly with anyone in or associated with the program</w:t>
      </w:r>
    </w:p>
    <w:p w14:paraId="5404071C" w14:textId="77777777" w:rsidR="00EA0664" w:rsidRPr="00EA0664" w:rsidRDefault="00EA0664" w:rsidP="00EA0664">
      <w:pPr>
        <w:widowControl w:val="0"/>
        <w:tabs>
          <w:tab w:val="left" w:pos="220"/>
          <w:tab w:val="left" w:pos="720"/>
        </w:tabs>
        <w:autoSpaceDE w:val="0"/>
        <w:autoSpaceDN w:val="0"/>
        <w:adjustRightInd w:val="0"/>
        <w:rPr>
          <w:rFonts w:cs="Times New Roman"/>
          <w:color w:val="132B48"/>
          <w:szCs w:val="22"/>
          <w:lang w:val="en-CA"/>
        </w:rPr>
      </w:pPr>
    </w:p>
    <w:p w14:paraId="0F4B01A8" w14:textId="503318B6" w:rsidR="00EA0664" w:rsidRPr="00BF249E" w:rsidRDefault="00EA0664" w:rsidP="001867C3">
      <w:pPr>
        <w:widowControl w:val="0"/>
        <w:tabs>
          <w:tab w:val="left" w:pos="220"/>
          <w:tab w:val="left" w:pos="720"/>
        </w:tabs>
        <w:autoSpaceDE w:val="0"/>
        <w:autoSpaceDN w:val="0"/>
        <w:adjustRightInd w:val="0"/>
        <w:ind w:left="0"/>
        <w:rPr>
          <w:rFonts w:cs="Times New Roman"/>
          <w:color w:val="132B48"/>
          <w:szCs w:val="22"/>
        </w:rPr>
      </w:pPr>
    </w:p>
    <w:sectPr w:rsidR="00EA0664" w:rsidRPr="00BF249E" w:rsidSect="00452261">
      <w:headerReference w:type="even" r:id="rId9"/>
      <w:headerReference w:type="default" r:id="rId10"/>
      <w:footerReference w:type="even" r:id="rId11"/>
      <w:footerReference w:type="default" r:id="rId12"/>
      <w:headerReference w:type="first" r:id="rId13"/>
      <w:footerReference w:type="first" r:id="rId14"/>
      <w:pgSz w:w="15840" w:h="12240" w:orient="landscape"/>
      <w:pgMar w:top="709" w:right="540" w:bottom="993" w:left="709" w:header="708" w:footer="6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B8FC" w14:textId="77777777" w:rsidR="00AE5CF2" w:rsidRDefault="00AE5CF2" w:rsidP="007A7348">
      <w:r>
        <w:separator/>
      </w:r>
    </w:p>
  </w:endnote>
  <w:endnote w:type="continuationSeparator" w:id="0">
    <w:p w14:paraId="4A6ED3BE" w14:textId="77777777" w:rsidR="00AE5CF2" w:rsidRDefault="00AE5CF2" w:rsidP="007A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A1B6" w14:textId="77777777" w:rsidR="007A7348" w:rsidRDefault="007A7348" w:rsidP="00964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52248" w14:textId="77777777" w:rsidR="007A7348" w:rsidRDefault="007A7348" w:rsidP="007A73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D510" w14:textId="77777777" w:rsidR="00452261" w:rsidRDefault="00452261" w:rsidP="00452261">
    <w:pPr>
      <w:pStyle w:val="Footer"/>
      <w:jc w:val="right"/>
    </w:pPr>
    <w:r>
      <w:rPr>
        <w:rFonts w:ascii="Calibri" w:hAnsi="Calibri"/>
        <w:noProof/>
        <w:sz w:val="20"/>
        <w:szCs w:val="20"/>
        <w:lang w:val="en-CA" w:eastAsia="en-CA"/>
      </w:rPr>
      <mc:AlternateContent>
        <mc:Choice Requires="wps">
          <w:drawing>
            <wp:anchor distT="0" distB="0" distL="114300" distR="114300" simplePos="0" relativeHeight="251660288" behindDoc="0" locked="0" layoutInCell="1" allowOverlap="1" wp14:anchorId="742C45D1" wp14:editId="7995D6D8">
              <wp:simplePos x="0" y="0"/>
              <wp:positionH relativeFrom="margin">
                <wp:align>right</wp:align>
              </wp:positionH>
              <wp:positionV relativeFrom="paragraph">
                <wp:posOffset>26532</wp:posOffset>
              </wp:positionV>
              <wp:extent cx="9262110" cy="18288"/>
              <wp:effectExtent l="0" t="0" r="0" b="12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2110" cy="18288"/>
                      </a:xfrm>
                      <a:prstGeom prst="rect">
                        <a:avLst/>
                      </a:prstGeom>
                      <a:solidFill>
                        <a:srgbClr val="003C79"/>
                      </a:solidFill>
                      <a:ln>
                        <a:noFill/>
                      </a:ln>
                      <a:extLst>
                        <a:ext uri="{91240B29-F687-4F45-9708-019B960494DF}">
                          <a14:hiddenLine xmlns:a14="http://schemas.microsoft.com/office/drawing/2010/main" w="38100">
                            <a:solidFill>
                              <a:srgbClr val="1F4D7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2438" id="Rectangle 3" o:spid="_x0000_s1026" style="position:absolute;margin-left:678.1pt;margin-top:2.1pt;width:729.3pt;height:1.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wrgQIAAPsEAAAOAAAAZHJzL2Uyb0RvYy54bWysVFFv0zAQfkfiP1h+7xJnWZtES6etpQhp&#10;wMTgB7i201g4drDdphviv3N22tHCC0L0wfXlzp+/++7O1zf7TqGdsE4aXWNykWIkNDNc6k2Nv3xe&#10;TQqMnKeaU2W0qPGTcPhm/vrV9dBXIjOtUVxYBCDaVUNf49b7vkoSx1rRUXdheqHB2RjbUQ+m3STc&#10;0gHQO5VkaTpNBmN5bw0TzsHX5ejE84jfNIL5j03jhEeqxsDNx9XGdR3WZH5Nq42lfSvZgQb9BxYd&#10;lRoufYFaUk/R1so/oDrJrHGm8RfMdIlpGslEzAGyIelv2Ty2tBcxFxDH9S8yuf8Hyz7sHiySvMY5&#10;Rpp2UKJPIBrVGyXQZZBn6F0FUY/9gw0Juv7esK8OabNoIUrcWmuGVlAOpEiIT84OBMPBUbQe3hsO&#10;6HTrTVRq39guAIIGaB8L8vRSELH3iMHHMptmhEDdGPhIkRVFvIFWx8O9df6tMB0KmxpboB7B6e7e&#10;+UCGVseQSN4oyVdSqWjYzXqhLNrR0Bvp5WJWHtDdaZjSIVibcGxEHL8AR7gj+ALbWOvvJcny9C4r&#10;J6tpMZvkq/xqUs7SYpKS8q6cpnmZL1c/AkGSV63kXOh7qcWx70j+d3U9TMDYMbHz0FDjy4KkaUz+&#10;jL47zZKs8uXsqOFZWCc9zKGSXY2LNPyCFLQKhX2jedx7KtW4T875R5lBhON/lCW2Qaj82EFrw5+g&#10;C6yBKkE94cWATWvsM0YDTF+N3bcttQIj9U5DJ5Ukz8O4RiO/mmVg2FPP+tRDNQOoGnuMxu3CjyO+&#10;7a3ctHATicJocwvd18jYGaEzR1aHnoUJixkcXoMwwqd2jPr1Zs1/AgAA//8DAFBLAwQUAAYACAAA&#10;ACEArOan3NwAAAAFAQAADwAAAGRycy9kb3ducmV2LnhtbEyPQUvDQBSE74L/YXmCF2l3W2qtMS9F&#10;gh4VGwvibZt9JqHZtyG7TdJ/7/akx2GGmW/S7WRbMVDvG8cIi7kCQVw603CFsP98nW1A+KDZ6NYx&#10;IZzJwza7vkp1YtzIOxqKUIlYwj7RCHUIXSKlL2uy2s9dRxy9H9dbHaLsK2l6PcZy28qlUmtpdcNx&#10;odYd5TWVx+JkEVrzNnwcd/mLUo9f55y/87v3sUC8vZmen0AEmsJfGC74ER2yyHRwJzZetAjxSEBY&#10;LUFczNX9Zg3igPCwAJml8j999gsAAP//AwBQSwECLQAUAAYACAAAACEAtoM4kv4AAADhAQAAEwAA&#10;AAAAAAAAAAAAAAAAAAAAW0NvbnRlbnRfVHlwZXNdLnhtbFBLAQItABQABgAIAAAAIQA4/SH/1gAA&#10;AJQBAAALAAAAAAAAAAAAAAAAAC8BAABfcmVscy8ucmVsc1BLAQItABQABgAIAAAAIQDVGHwrgQIA&#10;APsEAAAOAAAAAAAAAAAAAAAAAC4CAABkcnMvZTJvRG9jLnhtbFBLAQItABQABgAIAAAAIQCs5qfc&#10;3AAAAAUBAAAPAAAAAAAAAAAAAAAAANsEAABkcnMvZG93bnJldi54bWxQSwUGAAAAAAQABADzAAAA&#10;5AUAAAAA&#10;" fillcolor="#003c79" stroked="f" strokecolor="#1f4d78" strokeweight="3pt">
              <w10:wrap anchorx="margin"/>
            </v:rect>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6CD75415" wp14:editId="0723773A">
              <wp:simplePos x="0" y="0"/>
              <wp:positionH relativeFrom="margin">
                <wp:align>right</wp:align>
              </wp:positionH>
              <wp:positionV relativeFrom="paragraph">
                <wp:posOffset>41910</wp:posOffset>
              </wp:positionV>
              <wp:extent cx="9262110" cy="45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2110" cy="45720"/>
                      </a:xfrm>
                      <a:prstGeom prst="rect">
                        <a:avLst/>
                      </a:prstGeom>
                      <a:solidFill>
                        <a:srgbClr val="FFF200"/>
                      </a:solidFill>
                      <a:ln>
                        <a:noFill/>
                      </a:ln>
                      <a:extLst>
                        <a:ext uri="{91240B29-F687-4F45-9708-019B960494DF}">
                          <a14:hiddenLine xmlns:a14="http://schemas.microsoft.com/office/drawing/2010/main" w="38100">
                            <a:solidFill>
                              <a:srgbClr val="1F4D7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95624" id="Rectangle 2" o:spid="_x0000_s1026" style="position:absolute;margin-left:678.1pt;margin-top:3.3pt;width:729.3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lmfwIAAPsEAAAOAAAAZHJzL2Uyb0RvYy54bWysVFFv0zAQfkfiP1h+bxOHrG2ipdPWEoQ0&#10;YGLwA1zHaSwc29hu0w3x3zk77eiAB4TIg2P7zufv7vvOl1eHXqI9t05oVWEyTTHiiulGqG2FP3+q&#10;JwuMnKeqoVIrXuEH7vDV8uWLy8GUPNOdlg23CIIoVw6mwp33pkwSxzreUzfVhiswttr21MPSbpPG&#10;0gGi9zLJ0nSWDNo2xmrGnYPd9WjEyxi/bTnzH9rWcY9khQGbj6ON4yaMyfKSlltLTSfYEQb9BxQ9&#10;FQoufQq1pp6inRW/heoFs9rp1k+Z7hPdtoLxmANkQ9JfsrnvqOExFyiOM09lcv8vLHu/v7NINMAd&#10;Ror2QNFHKBpVW8lRFsozGFeC1725syFBZ241++KQ0qsOvPi1tXroOG0AFAn+ybMDYeHgKNoM73QD&#10;0enO61ipQ2v7EBBqgA6RkIcnQvjBIwabRTbLCAHeGNjyi3kWCUtoeTpsrPNvuO5RmFTYAvQYnO5v&#10;nQ9gaHlyieC1FE0tpIwLu92spEV7Ctqo6xrkFPFDjuduUgVnpcOxMeK4AxjhjmALaCPX3wqS5elN&#10;Vkzq2WI+yev8YlLM08UkJcVNMUvzIl/X3wNAkpedaBquboXiJ92R/O94PXbAqJioPDRU+NWCQAIx&#10;sXP47jxLUufr+eJPWfbCQx9K0Vd4kYYvONEyEPtaNXHuqZDjPHmOP5YZinD6x7JEGQTmRwVtdPMA&#10;KrAaWAI+4cWASaftI0YDdF+F3dcdtRwj+VaBkgqS56Fd42IkHtlzy+bcQhWDUBX2GI3TlR9bfGes&#10;2HZwE4mFUfoa1NeKqIygzBHVUbPQYTGD42sQWvh8Hb1+vlnLHwAAAP//AwBQSwMEFAAGAAgAAAAh&#10;AFRq7cjeAAAABgEAAA8AAABkcnMvZG93bnJldi54bWxMj0FLw0AQhe+C/2EZwUuxm2obQppNUUEo&#10;RaTGKh432WkSzM6G7LaN/97pyd7e8Ib3vpetRtuJIw6+daRgNo1AIFXOtFQr2H283CUgfNBkdOcI&#10;Ffyih1V+fZXp1LgTveOxCLXgEPKpVtCE0KdS+qpBq/3U9Ujs7d1gdeBzqKUZ9InDbSfvoyiWVrfE&#10;DY3u8bnB6qc4WAXFRhblfL2dfL/tXmef66evyWZrlbq9GR+XIAKO4f8ZzviMDjkzle5AxotOAQ8J&#10;CuIYxNmcLxJWJauHBGSeyUv8/A8AAP//AwBQSwECLQAUAAYACAAAACEAtoM4kv4AAADhAQAAEwAA&#10;AAAAAAAAAAAAAAAAAAAAW0NvbnRlbnRfVHlwZXNdLnhtbFBLAQItABQABgAIAAAAIQA4/SH/1gAA&#10;AJQBAAALAAAAAAAAAAAAAAAAAC8BAABfcmVscy8ucmVsc1BLAQItABQABgAIAAAAIQBlmvlmfwIA&#10;APsEAAAOAAAAAAAAAAAAAAAAAC4CAABkcnMvZTJvRG9jLnhtbFBLAQItABQABgAIAAAAIQBUau3I&#10;3gAAAAYBAAAPAAAAAAAAAAAAAAAAANkEAABkcnMvZG93bnJldi54bWxQSwUGAAAAAAQABADzAAAA&#10;5AUAAAAA&#10;" fillcolor="#fff200" stroked="f" strokecolor="#1f4d78" strokeweight="3pt">
              <w10:wrap anchorx="margin"/>
            </v:rect>
          </w:pict>
        </mc:Fallback>
      </mc:AlternateContent>
    </w:r>
  </w:p>
  <w:p w14:paraId="03D0BF87" w14:textId="3206C927" w:rsidR="00452261" w:rsidRPr="00BF249E" w:rsidRDefault="00452261" w:rsidP="00452261">
    <w:pPr>
      <w:pStyle w:val="Footer"/>
      <w:tabs>
        <w:tab w:val="clear" w:pos="8640"/>
        <w:tab w:val="right" w:pos="14580"/>
      </w:tabs>
      <w:rPr>
        <w:rFonts w:cs="Times New Roman"/>
        <w:noProof/>
        <w:sz w:val="20"/>
        <w:szCs w:val="20"/>
      </w:rPr>
    </w:pPr>
    <w:r w:rsidRPr="00BF249E">
      <w:rPr>
        <w:rFonts w:cs="Times New Roman"/>
        <w:sz w:val="20"/>
        <w:szCs w:val="20"/>
      </w:rPr>
      <w:t>BCIT Program Review - External Review Team – Candidate Recommendations</w:t>
    </w:r>
    <w:r w:rsidRPr="00BF249E">
      <w:rPr>
        <w:rFonts w:cs="Times New Roman"/>
        <w:sz w:val="20"/>
        <w:szCs w:val="20"/>
      </w:rPr>
      <w:tab/>
    </w:r>
    <w:r w:rsidRPr="00BF249E">
      <w:rPr>
        <w:rFonts w:cs="Times New Roman"/>
        <w:sz w:val="20"/>
        <w:szCs w:val="20"/>
      </w:rPr>
      <w:fldChar w:fldCharType="begin"/>
    </w:r>
    <w:r w:rsidRPr="00BF249E">
      <w:rPr>
        <w:rFonts w:cs="Times New Roman"/>
        <w:sz w:val="20"/>
        <w:szCs w:val="20"/>
      </w:rPr>
      <w:instrText xml:space="preserve"> PAGE   \* MERGEFORMAT </w:instrText>
    </w:r>
    <w:r w:rsidRPr="00BF249E">
      <w:rPr>
        <w:rFonts w:cs="Times New Roman"/>
        <w:sz w:val="20"/>
        <w:szCs w:val="20"/>
      </w:rPr>
      <w:fldChar w:fldCharType="separate"/>
    </w:r>
    <w:r w:rsidR="00136A2B">
      <w:rPr>
        <w:rFonts w:cs="Times New Roman"/>
        <w:noProof/>
        <w:sz w:val="20"/>
        <w:szCs w:val="20"/>
      </w:rPr>
      <w:t>2</w:t>
    </w:r>
    <w:r w:rsidRPr="00BF249E">
      <w:rPr>
        <w:rFonts w:cs="Times New Roman"/>
        <w:noProof/>
        <w:sz w:val="20"/>
        <w:szCs w:val="20"/>
      </w:rPr>
      <w:fldChar w:fldCharType="end"/>
    </w:r>
  </w:p>
  <w:p w14:paraId="7A504321" w14:textId="38E4C18D" w:rsidR="00452261" w:rsidRPr="00BF249E" w:rsidRDefault="00452261" w:rsidP="00452261">
    <w:pPr>
      <w:pStyle w:val="Footer"/>
      <w:tabs>
        <w:tab w:val="clear" w:pos="8640"/>
        <w:tab w:val="right" w:pos="9270"/>
      </w:tabs>
      <w:rPr>
        <w:rFonts w:cs="Times New Roman"/>
        <w:sz w:val="20"/>
        <w:szCs w:val="20"/>
      </w:rPr>
    </w:pPr>
    <w:r w:rsidRPr="00BF249E">
      <w:rPr>
        <w:rFonts w:cs="Times New Roman"/>
        <w:noProof/>
        <w:sz w:val="20"/>
        <w:szCs w:val="20"/>
      </w:rPr>
      <w:t>Version: September 20</w:t>
    </w:r>
    <w:r w:rsidR="007E468E">
      <w:rPr>
        <w:rFonts w:cs="Times New Roman"/>
        <w:noProof/>
        <w:sz w:val="20"/>
        <w:szCs w:val="20"/>
      </w:rPr>
      <w:t>20</w:t>
    </w:r>
  </w:p>
  <w:p w14:paraId="317120F5" w14:textId="77777777" w:rsidR="007A7348" w:rsidRDefault="007A7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E047" w14:textId="77777777" w:rsidR="007E468E" w:rsidRDefault="007E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1593B" w14:textId="77777777" w:rsidR="00AE5CF2" w:rsidRDefault="00AE5CF2" w:rsidP="007A7348">
      <w:r>
        <w:separator/>
      </w:r>
    </w:p>
  </w:footnote>
  <w:footnote w:type="continuationSeparator" w:id="0">
    <w:p w14:paraId="67B851B9" w14:textId="77777777" w:rsidR="00AE5CF2" w:rsidRDefault="00AE5CF2" w:rsidP="007A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5EC3" w14:textId="77777777" w:rsidR="007E468E" w:rsidRDefault="007E4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0B1B" w14:textId="77777777" w:rsidR="007E468E" w:rsidRDefault="007E4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D0C5" w14:textId="77777777" w:rsidR="007E468E" w:rsidRDefault="007E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A35FA"/>
    <w:multiLevelType w:val="hybridMultilevel"/>
    <w:tmpl w:val="F8AC8FBE"/>
    <w:lvl w:ilvl="0" w:tplc="9D36BBBE">
      <w:start w:val="1"/>
      <w:numFmt w:val="upperLetter"/>
      <w:lvlText w:val="%1."/>
      <w:lvlJc w:val="left"/>
      <w:pPr>
        <w:ind w:left="791" w:hanging="360"/>
      </w:pPr>
      <w:rPr>
        <w:rFonts w:hint="default"/>
      </w:rPr>
    </w:lvl>
    <w:lvl w:ilvl="1" w:tplc="10090019" w:tentative="1">
      <w:start w:val="1"/>
      <w:numFmt w:val="lowerLetter"/>
      <w:lvlText w:val="%2."/>
      <w:lvlJc w:val="left"/>
      <w:pPr>
        <w:ind w:left="1511" w:hanging="360"/>
      </w:pPr>
    </w:lvl>
    <w:lvl w:ilvl="2" w:tplc="1009001B" w:tentative="1">
      <w:start w:val="1"/>
      <w:numFmt w:val="lowerRoman"/>
      <w:lvlText w:val="%3."/>
      <w:lvlJc w:val="right"/>
      <w:pPr>
        <w:ind w:left="2231" w:hanging="180"/>
      </w:pPr>
    </w:lvl>
    <w:lvl w:ilvl="3" w:tplc="1009000F" w:tentative="1">
      <w:start w:val="1"/>
      <w:numFmt w:val="decimal"/>
      <w:lvlText w:val="%4."/>
      <w:lvlJc w:val="left"/>
      <w:pPr>
        <w:ind w:left="2951" w:hanging="360"/>
      </w:pPr>
    </w:lvl>
    <w:lvl w:ilvl="4" w:tplc="10090019" w:tentative="1">
      <w:start w:val="1"/>
      <w:numFmt w:val="lowerLetter"/>
      <w:lvlText w:val="%5."/>
      <w:lvlJc w:val="left"/>
      <w:pPr>
        <w:ind w:left="3671" w:hanging="360"/>
      </w:pPr>
    </w:lvl>
    <w:lvl w:ilvl="5" w:tplc="1009001B" w:tentative="1">
      <w:start w:val="1"/>
      <w:numFmt w:val="lowerRoman"/>
      <w:lvlText w:val="%6."/>
      <w:lvlJc w:val="right"/>
      <w:pPr>
        <w:ind w:left="4391" w:hanging="180"/>
      </w:pPr>
    </w:lvl>
    <w:lvl w:ilvl="6" w:tplc="1009000F" w:tentative="1">
      <w:start w:val="1"/>
      <w:numFmt w:val="decimal"/>
      <w:lvlText w:val="%7."/>
      <w:lvlJc w:val="left"/>
      <w:pPr>
        <w:ind w:left="5111" w:hanging="360"/>
      </w:pPr>
    </w:lvl>
    <w:lvl w:ilvl="7" w:tplc="10090019" w:tentative="1">
      <w:start w:val="1"/>
      <w:numFmt w:val="lowerLetter"/>
      <w:lvlText w:val="%8."/>
      <w:lvlJc w:val="left"/>
      <w:pPr>
        <w:ind w:left="5831" w:hanging="360"/>
      </w:pPr>
    </w:lvl>
    <w:lvl w:ilvl="8" w:tplc="1009001B" w:tentative="1">
      <w:start w:val="1"/>
      <w:numFmt w:val="lowerRoman"/>
      <w:lvlText w:val="%9."/>
      <w:lvlJc w:val="right"/>
      <w:pPr>
        <w:ind w:left="6551" w:hanging="180"/>
      </w:pPr>
    </w:lvl>
  </w:abstractNum>
  <w:abstractNum w:abstractNumId="2" w15:restartNumberingAfterBreak="0">
    <w:nsid w:val="1A67056D"/>
    <w:multiLevelType w:val="hybridMultilevel"/>
    <w:tmpl w:val="4D1A5E9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F009E8"/>
    <w:multiLevelType w:val="hybridMultilevel"/>
    <w:tmpl w:val="86E2121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A4F23EF"/>
    <w:multiLevelType w:val="hybridMultilevel"/>
    <w:tmpl w:val="7C5C5C52"/>
    <w:lvl w:ilvl="0" w:tplc="10090001">
      <w:start w:val="1"/>
      <w:numFmt w:val="bullet"/>
      <w:lvlText w:val=""/>
      <w:lvlJc w:val="left"/>
      <w:pPr>
        <w:ind w:left="917"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15:restartNumberingAfterBreak="0">
    <w:nsid w:val="40D7393F"/>
    <w:multiLevelType w:val="hybridMultilevel"/>
    <w:tmpl w:val="6010B0C2"/>
    <w:lvl w:ilvl="0" w:tplc="31002F8C">
      <w:start w:val="1"/>
      <w:numFmt w:val="upperLetter"/>
      <w:lvlText w:val="%1."/>
      <w:lvlJc w:val="left"/>
      <w:pPr>
        <w:ind w:left="360" w:hanging="360"/>
      </w:pPr>
    </w:lvl>
    <w:lvl w:ilvl="1" w:tplc="B2FAD1D2">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1A83F27"/>
    <w:multiLevelType w:val="hybridMultilevel"/>
    <w:tmpl w:val="EE06E7E4"/>
    <w:lvl w:ilvl="0" w:tplc="A4D295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4438B"/>
    <w:multiLevelType w:val="hybridMultilevel"/>
    <w:tmpl w:val="D90AEAE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E6A29BE"/>
    <w:multiLevelType w:val="hybridMultilevel"/>
    <w:tmpl w:val="233285F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1"/>
  </w:num>
  <w:num w:numId="5">
    <w:abstractNumId w:val="7"/>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82"/>
    <w:rsid w:val="000072E6"/>
    <w:rsid w:val="00013DC2"/>
    <w:rsid w:val="000B5350"/>
    <w:rsid w:val="00116699"/>
    <w:rsid w:val="00123A29"/>
    <w:rsid w:val="00136A2B"/>
    <w:rsid w:val="001547B1"/>
    <w:rsid w:val="001867C3"/>
    <w:rsid w:val="001A7F3F"/>
    <w:rsid w:val="00296E5B"/>
    <w:rsid w:val="002D3A90"/>
    <w:rsid w:val="002E021D"/>
    <w:rsid w:val="003411A3"/>
    <w:rsid w:val="003A036F"/>
    <w:rsid w:val="003E37E9"/>
    <w:rsid w:val="003F24AE"/>
    <w:rsid w:val="0042490D"/>
    <w:rsid w:val="00452261"/>
    <w:rsid w:val="00471BA5"/>
    <w:rsid w:val="00493382"/>
    <w:rsid w:val="004A004C"/>
    <w:rsid w:val="004E42B9"/>
    <w:rsid w:val="004E471F"/>
    <w:rsid w:val="00590907"/>
    <w:rsid w:val="00603BCA"/>
    <w:rsid w:val="00641EE2"/>
    <w:rsid w:val="006B7EE0"/>
    <w:rsid w:val="006C16EF"/>
    <w:rsid w:val="006D0E85"/>
    <w:rsid w:val="006D6918"/>
    <w:rsid w:val="0076751B"/>
    <w:rsid w:val="00777378"/>
    <w:rsid w:val="007914FF"/>
    <w:rsid w:val="007A7348"/>
    <w:rsid w:val="007C53F3"/>
    <w:rsid w:val="007E468E"/>
    <w:rsid w:val="00882040"/>
    <w:rsid w:val="009349D4"/>
    <w:rsid w:val="009536B8"/>
    <w:rsid w:val="009B6A82"/>
    <w:rsid w:val="00A1158B"/>
    <w:rsid w:val="00A172F7"/>
    <w:rsid w:val="00A5288C"/>
    <w:rsid w:val="00A615C1"/>
    <w:rsid w:val="00AE17E0"/>
    <w:rsid w:val="00AE5CF2"/>
    <w:rsid w:val="00BA63C4"/>
    <w:rsid w:val="00BD3CB1"/>
    <w:rsid w:val="00BF249E"/>
    <w:rsid w:val="00C428EF"/>
    <w:rsid w:val="00D417BB"/>
    <w:rsid w:val="00D626AD"/>
    <w:rsid w:val="00E4238B"/>
    <w:rsid w:val="00E66F41"/>
    <w:rsid w:val="00E72C69"/>
    <w:rsid w:val="00EA0664"/>
    <w:rsid w:val="00F62EA9"/>
    <w:rsid w:val="00FD5F52"/>
    <w:rsid w:val="00FF6E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01297F"/>
  <w15:docId w15:val="{847F18E2-F2A9-4990-BFB2-5808BD06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49E"/>
    <w:pPr>
      <w:ind w:left="431"/>
    </w:pPr>
    <w:rPr>
      <w:rFonts w:ascii="Times New Roman" w:hAnsi="Times New Roman"/>
      <w:sz w:val="22"/>
    </w:rPr>
  </w:style>
  <w:style w:type="paragraph" w:styleId="Heading2">
    <w:name w:val="heading 2"/>
    <w:basedOn w:val="Normal"/>
    <w:next w:val="Normal"/>
    <w:link w:val="Heading2Char"/>
    <w:rsid w:val="00FD5F5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F5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B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90D"/>
    <w:rPr>
      <w:rFonts w:ascii="Lucida Grande" w:hAnsi="Lucida Grande" w:cs="Lucida Grande"/>
      <w:sz w:val="18"/>
      <w:szCs w:val="18"/>
    </w:rPr>
  </w:style>
  <w:style w:type="paragraph" w:styleId="ListParagraph">
    <w:name w:val="List Paragraph"/>
    <w:basedOn w:val="Normal"/>
    <w:link w:val="ListParagraphChar"/>
    <w:uiPriority w:val="34"/>
    <w:qFormat/>
    <w:rsid w:val="003E37E9"/>
    <w:pPr>
      <w:ind w:left="720"/>
      <w:contextualSpacing/>
    </w:pPr>
  </w:style>
  <w:style w:type="paragraph" w:styleId="Header">
    <w:name w:val="header"/>
    <w:basedOn w:val="Normal"/>
    <w:link w:val="HeaderChar"/>
    <w:uiPriority w:val="99"/>
    <w:unhideWhenUsed/>
    <w:rsid w:val="007A7348"/>
    <w:pPr>
      <w:tabs>
        <w:tab w:val="center" w:pos="4320"/>
        <w:tab w:val="right" w:pos="8640"/>
      </w:tabs>
    </w:pPr>
  </w:style>
  <w:style w:type="character" w:customStyle="1" w:styleId="HeaderChar">
    <w:name w:val="Header Char"/>
    <w:basedOn w:val="DefaultParagraphFont"/>
    <w:link w:val="Header"/>
    <w:uiPriority w:val="99"/>
    <w:rsid w:val="007A7348"/>
  </w:style>
  <w:style w:type="paragraph" w:styleId="Footer">
    <w:name w:val="footer"/>
    <w:basedOn w:val="Normal"/>
    <w:link w:val="FooterChar"/>
    <w:uiPriority w:val="99"/>
    <w:unhideWhenUsed/>
    <w:qFormat/>
    <w:rsid w:val="007A7348"/>
    <w:pPr>
      <w:tabs>
        <w:tab w:val="center" w:pos="4320"/>
        <w:tab w:val="right" w:pos="8640"/>
      </w:tabs>
    </w:pPr>
  </w:style>
  <w:style w:type="character" w:customStyle="1" w:styleId="FooterChar">
    <w:name w:val="Footer Char"/>
    <w:basedOn w:val="DefaultParagraphFont"/>
    <w:link w:val="Footer"/>
    <w:uiPriority w:val="99"/>
    <w:rsid w:val="007A7348"/>
  </w:style>
  <w:style w:type="character" w:styleId="PageNumber">
    <w:name w:val="page number"/>
    <w:basedOn w:val="DefaultParagraphFont"/>
    <w:uiPriority w:val="99"/>
    <w:semiHidden/>
    <w:unhideWhenUsed/>
    <w:rsid w:val="007A7348"/>
  </w:style>
  <w:style w:type="character" w:customStyle="1" w:styleId="ListParagraphChar">
    <w:name w:val="List Paragraph Char"/>
    <w:basedOn w:val="DefaultParagraphFont"/>
    <w:link w:val="ListParagraph"/>
    <w:uiPriority w:val="34"/>
    <w:rsid w:val="00EA0664"/>
    <w:rPr>
      <w:rFonts w:ascii="Times New Roman" w:hAnsi="Times New Roman"/>
      <w:sz w:val="22"/>
    </w:rPr>
  </w:style>
  <w:style w:type="character" w:styleId="Hyperlink">
    <w:name w:val="Hyperlink"/>
    <w:basedOn w:val="DefaultParagraphFont"/>
    <w:uiPriority w:val="99"/>
    <w:unhideWhenUsed/>
    <w:rsid w:val="00EA0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ov.bc.ca/gov/content/education-training/post-secondary-education/institution-resources-administration/degree-authorization/degree-quality-assessment-board/conflict-of-interest-and-confidentiality-policy"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isApproved xmlns="7fd00f9a-458a-471e-b455-ad7d7b212f2b">true</isApproved>
    <Folder_x0020_Path xmlns="7fd00f9a-458a-471e-b455-ad7d7b212f2b">/files/apqa/doc/program_review_ert_candidate_template_2020.docx</Folder_x0020_Path>
    <xDelete xmlns="7fd00f9a-458a-471e-b455-ad7d7b212f2b">false</xDelete>
    <Approved_x0020_Date xmlns="7fd00f9a-458a-471e-b455-ad7d7b212f2b">2022-07-14T07:00:00+00:00</Approved_x0020_Date>
    <Folder_1 xmlns="7fd00f9a-458a-471e-b455-ad7d7b212f2b">doc</Folder_1>
    <xAppDate xmlns="7fd00f9a-458a-471e-b455-ad7d7b212f2b" xsi:nil="true"/>
  </documentManagement>
</p:properties>
</file>

<file path=customXml/itemProps1.xml><?xml version="1.0" encoding="utf-8"?>
<ds:datastoreItem xmlns:ds="http://schemas.openxmlformats.org/officeDocument/2006/customXml" ds:itemID="{8F125F07-8A36-4047-8A53-4841BB18FC91}"/>
</file>

<file path=customXml/itemProps2.xml><?xml version="1.0" encoding="utf-8"?>
<ds:datastoreItem xmlns:ds="http://schemas.openxmlformats.org/officeDocument/2006/customXml" ds:itemID="{6DE2EAF2-CBDC-4F0E-9077-FB2A8E806AD1}"/>
</file>

<file path=customXml/itemProps3.xml><?xml version="1.0" encoding="utf-8"?>
<ds:datastoreItem xmlns:ds="http://schemas.openxmlformats.org/officeDocument/2006/customXml" ds:itemID="{F9FF8B03-F8B3-4296-85F5-DB7424386066}"/>
</file>

<file path=docProps/app.xml><?xml version="1.0" encoding="utf-8"?>
<Properties xmlns="http://schemas.openxmlformats.org/officeDocument/2006/extended-properties" xmlns:vt="http://schemas.openxmlformats.org/officeDocument/2006/docPropsVTypes">
  <Template>Normal.dotm</Template>
  <TotalTime>3</TotalTime>
  <Pages>3</Pages>
  <Words>508</Words>
  <Characters>3010</Characters>
  <Application>Microsoft Office Word</Application>
  <DocSecurity>0</DocSecurity>
  <Lines>97</Lines>
  <Paragraphs>46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Siedlaczek</dc:creator>
  <cp:lastModifiedBy>Joanne Schaap</cp:lastModifiedBy>
  <cp:revision>8</cp:revision>
  <cp:lastPrinted>2014-07-21T22:43:00Z</cp:lastPrinted>
  <dcterms:created xsi:type="dcterms:W3CDTF">2020-08-14T18:50:00Z</dcterms:created>
  <dcterms:modified xsi:type="dcterms:W3CDTF">2022-07-14T19:53:00Z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b58dc0f3-cbff-4b92-9c39-7c8bdc813a63,4;b58dc0f3-cbff-4b92-9c39-7c8bdc813a63,4;b58dc0f3-cbff-4b92-9c39-7c8bdc813a63,5;b58dc0f3-cbff-4b92-9c39-7c8bdc813a63,5;b58dc0f3-cbff-4b92-9c39-7c8bdc813a63,6;</vt:lpwstr>
  </property>
  <property fmtid="{D5CDD505-2E9C-101B-9397-08002B2CF9AE}" pid="4" name="Uploaded">
    <vt:bool>false</vt:bool>
  </property>
</Properties>
</file>